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C65E3" w14:textId="77777777" w:rsidR="00FD0A7F" w:rsidRPr="00822246" w:rsidRDefault="00FD0A7F" w:rsidP="00FD0A7F">
      <w:pPr>
        <w:pStyle w:val="bo"/>
        <w:spacing w:before="0" w:beforeAutospacing="0" w:after="270" w:afterAutospacing="0"/>
        <w:jc w:val="both"/>
        <w:rPr>
          <w:rFonts w:asciiTheme="minorHAnsi" w:eastAsiaTheme="minorHAnsi" w:hAnsiTheme="minorHAnsi" w:cstheme="minorBidi"/>
          <w:i/>
          <w:iCs/>
          <w:sz w:val="20"/>
          <w:szCs w:val="20"/>
          <w:lang w:eastAsia="en-US"/>
        </w:rPr>
      </w:pPr>
      <w:r w:rsidRPr="00822246">
        <w:rPr>
          <w:rFonts w:asciiTheme="minorHAnsi" w:eastAsiaTheme="minorHAnsi" w:hAnsiTheme="minorHAnsi" w:cstheme="minorBidi"/>
          <w:i/>
          <w:iCs/>
          <w:sz w:val="20"/>
          <w:szCs w:val="20"/>
          <w:lang w:eastAsia="en-US"/>
        </w:rPr>
        <w:t>The information contained within this announcement was deemed by the Company to constitute inside information as stipulated under the Market Abuse Regulations (EU) No. 596/2014 as it forms part of UK domestic law by virtue of the European Union (Withdrawal) Act 2018 as amended.  With the publication of this announcement via a Regulatory Information Service, this inside information is now considered to be in the public domain.</w:t>
      </w:r>
    </w:p>
    <w:p w14:paraId="2AAD9227" w14:textId="77777777" w:rsidR="00954ED2" w:rsidRPr="00502370" w:rsidRDefault="00954ED2" w:rsidP="00954ED2">
      <w:pPr>
        <w:pStyle w:val="bo"/>
        <w:spacing w:before="0" w:beforeAutospacing="0" w:after="270" w:afterAutospacing="0"/>
        <w:jc w:val="center"/>
        <w:rPr>
          <w:rStyle w:val="bm"/>
          <w:rFonts w:ascii="Calibri" w:hAnsi="Calibri" w:cs="Calibri"/>
          <w:b/>
          <w:bCs/>
          <w:color w:val="212721"/>
          <w:sz w:val="22"/>
          <w:szCs w:val="22"/>
        </w:rPr>
      </w:pPr>
      <w:r>
        <w:rPr>
          <w:rStyle w:val="bm"/>
          <w:rFonts w:ascii="Calibri" w:hAnsi="Calibri" w:cs="Calibri"/>
          <w:b/>
          <w:bCs/>
          <w:color w:val="212721"/>
          <w:sz w:val="22"/>
          <w:szCs w:val="22"/>
        </w:rPr>
        <w:t xml:space="preserve">Frenkel Topping Group </w:t>
      </w:r>
      <w:proofErr w:type="gramStart"/>
      <w:r>
        <w:rPr>
          <w:rStyle w:val="bm"/>
          <w:rFonts w:ascii="Calibri" w:hAnsi="Calibri" w:cs="Calibri"/>
          <w:b/>
          <w:bCs/>
          <w:color w:val="212721"/>
          <w:sz w:val="22"/>
          <w:szCs w:val="22"/>
        </w:rPr>
        <w:t>plc</w:t>
      </w:r>
      <w:proofErr w:type="gramEnd"/>
    </w:p>
    <w:p w14:paraId="5FCCB017" w14:textId="77777777" w:rsidR="00954ED2" w:rsidRPr="00502370" w:rsidRDefault="00954ED2" w:rsidP="00954ED2">
      <w:pPr>
        <w:pStyle w:val="bo"/>
        <w:spacing w:before="0" w:beforeAutospacing="0" w:after="270" w:afterAutospacing="0"/>
        <w:jc w:val="center"/>
        <w:rPr>
          <w:rStyle w:val="bm"/>
          <w:rFonts w:ascii="Calibri" w:hAnsi="Calibri" w:cs="Calibri"/>
          <w:b/>
          <w:bCs/>
          <w:color w:val="212721"/>
          <w:sz w:val="22"/>
          <w:szCs w:val="22"/>
        </w:rPr>
      </w:pPr>
      <w:r>
        <w:rPr>
          <w:rStyle w:val="bm"/>
          <w:rFonts w:ascii="Calibri" w:hAnsi="Calibri" w:cs="Calibri"/>
          <w:b/>
          <w:bCs/>
          <w:color w:val="212721"/>
          <w:sz w:val="22"/>
          <w:szCs w:val="22"/>
        </w:rPr>
        <w:t>("Frenkel Topping", the "Company" or the "Group") </w:t>
      </w:r>
    </w:p>
    <w:p w14:paraId="4A8C5EF6" w14:textId="77777777" w:rsidR="00954ED2" w:rsidRPr="00502370" w:rsidRDefault="00954ED2" w:rsidP="00954ED2">
      <w:pPr>
        <w:pStyle w:val="bp"/>
        <w:spacing w:before="0" w:beforeAutospacing="0" w:after="270" w:afterAutospacing="0"/>
        <w:jc w:val="center"/>
        <w:rPr>
          <w:rStyle w:val="bm"/>
          <w:rFonts w:ascii="Calibri" w:hAnsi="Calibri" w:cs="Calibri"/>
          <w:b/>
          <w:bCs/>
          <w:color w:val="212721"/>
          <w:sz w:val="22"/>
          <w:szCs w:val="22"/>
        </w:rPr>
      </w:pPr>
      <w:r>
        <w:rPr>
          <w:rStyle w:val="bm"/>
          <w:rFonts w:ascii="Calibri" w:hAnsi="Calibri" w:cs="Calibri"/>
          <w:b/>
          <w:bCs/>
          <w:color w:val="212721"/>
          <w:sz w:val="22"/>
          <w:szCs w:val="22"/>
        </w:rPr>
        <w:t>Trading Update for the year ended 31 December 2022</w:t>
      </w:r>
    </w:p>
    <w:p w14:paraId="0623DFD5" w14:textId="77777777" w:rsidR="00954ED2" w:rsidRPr="00502370" w:rsidRDefault="00954ED2" w:rsidP="005D7FE2">
      <w:pPr>
        <w:pStyle w:val="bp"/>
        <w:spacing w:before="0" w:beforeAutospacing="0" w:after="270" w:afterAutospacing="0"/>
        <w:jc w:val="center"/>
        <w:rPr>
          <w:rStyle w:val="bm"/>
          <w:rFonts w:ascii="Calibri" w:hAnsi="Calibri" w:cs="Calibri"/>
          <w:b/>
          <w:bCs/>
          <w:color w:val="212721"/>
          <w:sz w:val="22"/>
          <w:szCs w:val="22"/>
        </w:rPr>
      </w:pPr>
      <w:r w:rsidRPr="005D7FE2">
        <w:rPr>
          <w:rStyle w:val="bm"/>
          <w:rFonts w:ascii="Calibri" w:hAnsi="Calibri" w:cs="Calibri"/>
          <w:b/>
          <w:bCs/>
          <w:color w:val="212721"/>
          <w:sz w:val="22"/>
          <w:szCs w:val="22"/>
        </w:rPr>
        <w:t>&amp;</w:t>
      </w:r>
    </w:p>
    <w:p w14:paraId="294EA767" w14:textId="09DC61B0" w:rsidR="00954ED2" w:rsidRDefault="00954ED2" w:rsidP="005D7FE2">
      <w:pPr>
        <w:pStyle w:val="bp"/>
        <w:spacing w:before="0" w:beforeAutospacing="0" w:after="270" w:afterAutospacing="0"/>
        <w:jc w:val="center"/>
        <w:rPr>
          <w:rStyle w:val="bm"/>
          <w:rFonts w:ascii="Calibri" w:hAnsi="Calibri" w:cs="Calibri"/>
          <w:b/>
          <w:bCs/>
          <w:color w:val="212721"/>
          <w:sz w:val="22"/>
          <w:szCs w:val="22"/>
        </w:rPr>
      </w:pPr>
      <w:r w:rsidRPr="00502370">
        <w:rPr>
          <w:rStyle w:val="bm"/>
          <w:rFonts w:ascii="Calibri" w:hAnsi="Calibri" w:cs="Calibri"/>
          <w:b/>
          <w:bCs/>
          <w:color w:val="212721"/>
          <w:sz w:val="22"/>
          <w:szCs w:val="22"/>
        </w:rPr>
        <w:t>Notice of Results</w:t>
      </w:r>
    </w:p>
    <w:p w14:paraId="669C41CD" w14:textId="47CF306C" w:rsidR="00F04499" w:rsidRPr="0076291B" w:rsidRDefault="00F04499" w:rsidP="005D7FE2">
      <w:pPr>
        <w:pStyle w:val="bp"/>
        <w:spacing w:before="0" w:beforeAutospacing="0" w:after="270" w:afterAutospacing="0"/>
        <w:jc w:val="center"/>
        <w:rPr>
          <w:rStyle w:val="bm"/>
          <w:rFonts w:ascii="Calibri" w:hAnsi="Calibri" w:cs="Calibri"/>
          <w:i/>
          <w:iCs/>
          <w:color w:val="212721"/>
          <w:sz w:val="22"/>
          <w:szCs w:val="22"/>
        </w:rPr>
      </w:pPr>
      <w:r w:rsidRPr="0076291B">
        <w:rPr>
          <w:rStyle w:val="bm"/>
          <w:rFonts w:ascii="Calibri" w:hAnsi="Calibri" w:cs="Calibri"/>
          <w:i/>
          <w:iCs/>
          <w:color w:val="212721"/>
          <w:sz w:val="22"/>
          <w:szCs w:val="22"/>
        </w:rPr>
        <w:t xml:space="preserve">Strong financial performance and delivery against </w:t>
      </w:r>
      <w:r w:rsidRPr="00F04499">
        <w:rPr>
          <w:rStyle w:val="bm"/>
          <w:rFonts w:ascii="Calibri" w:hAnsi="Calibri" w:cs="Calibri"/>
          <w:i/>
          <w:iCs/>
          <w:color w:val="212721"/>
          <w:sz w:val="22"/>
          <w:szCs w:val="22"/>
        </w:rPr>
        <w:t xml:space="preserve">strategy </w:t>
      </w:r>
      <w:r w:rsidRPr="0076291B">
        <w:rPr>
          <w:rStyle w:val="bm"/>
          <w:rFonts w:ascii="Calibri" w:hAnsi="Calibri" w:cs="Calibri"/>
          <w:i/>
          <w:iCs/>
          <w:color w:val="212721"/>
          <w:sz w:val="22"/>
          <w:szCs w:val="22"/>
        </w:rPr>
        <w:t>in FY2022</w:t>
      </w:r>
    </w:p>
    <w:p w14:paraId="14111D34" w14:textId="0FE4968C" w:rsidR="00F04499" w:rsidRPr="0076291B" w:rsidRDefault="00F04499" w:rsidP="005D7FE2">
      <w:pPr>
        <w:pStyle w:val="bp"/>
        <w:spacing w:before="0" w:beforeAutospacing="0" w:after="270" w:afterAutospacing="0"/>
        <w:jc w:val="center"/>
        <w:rPr>
          <w:rStyle w:val="bm"/>
          <w:rFonts w:ascii="Calibri" w:hAnsi="Calibri" w:cs="Calibri"/>
          <w:i/>
          <w:iCs/>
          <w:color w:val="212721"/>
          <w:sz w:val="22"/>
          <w:szCs w:val="22"/>
        </w:rPr>
      </w:pPr>
      <w:r w:rsidRPr="0076291B">
        <w:rPr>
          <w:rStyle w:val="bm"/>
          <w:rFonts w:ascii="Calibri" w:hAnsi="Calibri" w:cs="Calibri"/>
          <w:i/>
          <w:iCs/>
          <w:color w:val="212721"/>
          <w:sz w:val="22"/>
          <w:szCs w:val="22"/>
        </w:rPr>
        <w:t>Positive start to FY2023</w:t>
      </w:r>
      <w:r>
        <w:rPr>
          <w:rStyle w:val="bm"/>
          <w:rFonts w:ascii="Calibri" w:hAnsi="Calibri" w:cs="Calibri"/>
          <w:i/>
          <w:iCs/>
          <w:color w:val="212721"/>
          <w:sz w:val="22"/>
          <w:szCs w:val="22"/>
        </w:rPr>
        <w:t xml:space="preserve">, trading in line with </w:t>
      </w:r>
      <w:r w:rsidRPr="0076291B">
        <w:rPr>
          <w:rStyle w:val="bm"/>
          <w:rFonts w:ascii="Calibri" w:hAnsi="Calibri" w:cs="Calibri"/>
          <w:i/>
          <w:iCs/>
          <w:color w:val="212721"/>
          <w:sz w:val="22"/>
          <w:szCs w:val="22"/>
        </w:rPr>
        <w:t xml:space="preserve">expectations </w:t>
      </w:r>
    </w:p>
    <w:p w14:paraId="4978D6A9" w14:textId="26C3EABD" w:rsidR="00B0540E" w:rsidRPr="006C37B0" w:rsidRDefault="00954ED2" w:rsidP="005D7FE2">
      <w:pPr>
        <w:jc w:val="both"/>
        <w:rPr>
          <w:rFonts w:cstheme="minorHAnsi"/>
        </w:rPr>
      </w:pPr>
      <w:r w:rsidRPr="006C37B0">
        <w:rPr>
          <w:rFonts w:cstheme="minorHAnsi"/>
        </w:rPr>
        <w:t xml:space="preserve">Frenkel Topping (AIM: FEN), a specialist financial and professional services firm operating within the personal injury and clinical negligence marketplace, is pleased to provide the following </w:t>
      </w:r>
      <w:r w:rsidR="00FD0A7F" w:rsidRPr="006C37B0">
        <w:rPr>
          <w:rFonts w:cstheme="minorHAnsi"/>
        </w:rPr>
        <w:t>trading update</w:t>
      </w:r>
      <w:r w:rsidRPr="006C37B0">
        <w:rPr>
          <w:rFonts w:cstheme="minorHAnsi"/>
        </w:rPr>
        <w:t xml:space="preserve"> for the </w:t>
      </w:r>
      <w:r w:rsidR="00FD0A7F" w:rsidRPr="006C37B0">
        <w:rPr>
          <w:rFonts w:cstheme="minorHAnsi"/>
        </w:rPr>
        <w:t xml:space="preserve">financial </w:t>
      </w:r>
      <w:r w:rsidRPr="006C37B0">
        <w:rPr>
          <w:rFonts w:cstheme="minorHAnsi"/>
        </w:rPr>
        <w:t>year ended 31 December 2022</w:t>
      </w:r>
      <w:r w:rsidR="00123EA5" w:rsidRPr="006C37B0">
        <w:rPr>
          <w:rFonts w:cstheme="minorHAnsi"/>
        </w:rPr>
        <w:t xml:space="preserve"> (“FY2022”)</w:t>
      </w:r>
      <w:r w:rsidRPr="006C37B0">
        <w:rPr>
          <w:rFonts w:cstheme="minorHAnsi"/>
        </w:rPr>
        <w:t> and an outlook for the current financial year</w:t>
      </w:r>
      <w:r w:rsidR="009D5410">
        <w:rPr>
          <w:rFonts w:cstheme="minorHAnsi"/>
        </w:rPr>
        <w:t xml:space="preserve"> (“FY2023”)</w:t>
      </w:r>
      <w:r w:rsidRPr="006C37B0">
        <w:rPr>
          <w:rFonts w:cstheme="minorHAnsi"/>
        </w:rPr>
        <w:t>.</w:t>
      </w:r>
    </w:p>
    <w:p w14:paraId="3BCFECBC" w14:textId="64964F56" w:rsidR="006B11B8" w:rsidRPr="006C37B0" w:rsidRDefault="005D7FE2" w:rsidP="005D7FE2">
      <w:pPr>
        <w:jc w:val="both"/>
        <w:rPr>
          <w:rFonts w:cstheme="minorHAnsi"/>
        </w:rPr>
      </w:pPr>
      <w:r w:rsidRPr="006C37B0">
        <w:rPr>
          <w:rFonts w:cstheme="minorHAnsi"/>
        </w:rPr>
        <w:t>The Board expect</w:t>
      </w:r>
      <w:r w:rsidR="008F1E29">
        <w:rPr>
          <w:rFonts w:cstheme="minorHAnsi"/>
        </w:rPr>
        <w:t>s</w:t>
      </w:r>
      <w:r w:rsidR="00FD0A7F" w:rsidRPr="006C37B0">
        <w:rPr>
          <w:rFonts w:cstheme="minorHAnsi"/>
        </w:rPr>
        <w:t xml:space="preserve"> to</w:t>
      </w:r>
      <w:r w:rsidRPr="006C37B0">
        <w:rPr>
          <w:rFonts w:cstheme="minorHAnsi"/>
        </w:rPr>
        <w:t xml:space="preserve"> repor</w:t>
      </w:r>
      <w:r w:rsidR="00FD0A7F" w:rsidRPr="006C37B0">
        <w:rPr>
          <w:rFonts w:cstheme="minorHAnsi"/>
        </w:rPr>
        <w:t>t</w:t>
      </w:r>
      <w:r w:rsidRPr="006C37B0">
        <w:rPr>
          <w:rFonts w:cstheme="minorHAnsi"/>
        </w:rPr>
        <w:t xml:space="preserve"> revenues</w:t>
      </w:r>
      <w:r w:rsidR="00872A5C">
        <w:rPr>
          <w:rFonts w:cstheme="minorHAnsi"/>
        </w:rPr>
        <w:t xml:space="preserve"> in line with expectations</w:t>
      </w:r>
      <w:r w:rsidRPr="006C37B0">
        <w:rPr>
          <w:rFonts w:cstheme="minorHAnsi"/>
        </w:rPr>
        <w:t xml:space="preserve"> of </w:t>
      </w:r>
      <w:r w:rsidR="007840D0">
        <w:rPr>
          <w:rFonts w:cstheme="minorHAnsi"/>
        </w:rPr>
        <w:t>c.</w:t>
      </w:r>
      <w:r w:rsidRPr="006C37B0">
        <w:rPr>
          <w:rFonts w:cstheme="minorHAnsi"/>
        </w:rPr>
        <w:t>£</w:t>
      </w:r>
      <w:r w:rsidR="008F1E29">
        <w:rPr>
          <w:rFonts w:cstheme="minorHAnsi"/>
        </w:rPr>
        <w:t>24.8</w:t>
      </w:r>
      <w:r w:rsidRPr="006C37B0">
        <w:rPr>
          <w:rFonts w:cstheme="minorHAnsi"/>
        </w:rPr>
        <w:t>m (2021: £18</w:t>
      </w:r>
      <w:r w:rsidR="003D1C10">
        <w:rPr>
          <w:rFonts w:cstheme="minorHAnsi"/>
        </w:rPr>
        <w:t>.4</w:t>
      </w:r>
      <w:r w:rsidRPr="006C37B0">
        <w:rPr>
          <w:rFonts w:cstheme="minorHAnsi"/>
        </w:rPr>
        <w:t xml:space="preserve">m) and adjusted EBITDA of </w:t>
      </w:r>
      <w:r w:rsidR="007840D0">
        <w:rPr>
          <w:rFonts w:cstheme="minorHAnsi"/>
        </w:rPr>
        <w:t>c.</w:t>
      </w:r>
      <w:r w:rsidRPr="006C37B0">
        <w:rPr>
          <w:rFonts w:cstheme="minorHAnsi"/>
        </w:rPr>
        <w:t>£</w:t>
      </w:r>
      <w:r w:rsidR="00211DB5" w:rsidRPr="006C37B0">
        <w:rPr>
          <w:rFonts w:cstheme="minorHAnsi"/>
        </w:rPr>
        <w:t>6.1</w:t>
      </w:r>
      <w:r w:rsidRPr="006C37B0">
        <w:rPr>
          <w:rFonts w:cstheme="minorHAnsi"/>
        </w:rPr>
        <w:t>m* (2021: £4.6m)</w:t>
      </w:r>
      <w:r w:rsidR="00FD0A7F" w:rsidRPr="006C37B0">
        <w:rPr>
          <w:rFonts w:cstheme="minorHAnsi"/>
        </w:rPr>
        <w:t xml:space="preserve"> for </w:t>
      </w:r>
      <w:r w:rsidR="00123EA5" w:rsidRPr="006C37B0">
        <w:rPr>
          <w:rFonts w:cstheme="minorHAnsi"/>
        </w:rPr>
        <w:t>FY2022</w:t>
      </w:r>
      <w:r w:rsidR="00872A5C">
        <w:rPr>
          <w:rFonts w:cstheme="minorHAnsi"/>
        </w:rPr>
        <w:t>.</w:t>
      </w:r>
      <w:r w:rsidR="00194753">
        <w:rPr>
          <w:rFonts w:cstheme="minorHAnsi"/>
        </w:rPr>
        <w:t xml:space="preserve"> Pleasingly, EBITDA margin has been stable year on year at c25%.</w:t>
      </w:r>
      <w:r w:rsidR="00194753" w:rsidRPr="006C37B0">
        <w:rPr>
          <w:rFonts w:cstheme="minorHAnsi"/>
        </w:rPr>
        <w:t xml:space="preserve"> </w:t>
      </w:r>
      <w:r w:rsidR="00E5533D" w:rsidRPr="006C37B0">
        <w:rPr>
          <w:rFonts w:cstheme="minorHAnsi"/>
        </w:rPr>
        <w:t xml:space="preserve"> </w:t>
      </w:r>
      <w:r w:rsidRPr="006C37B0">
        <w:rPr>
          <w:rFonts w:cstheme="minorHAnsi"/>
        </w:rPr>
        <w:t>The Company had £</w:t>
      </w:r>
      <w:r w:rsidR="00211DB5" w:rsidRPr="006C37B0">
        <w:rPr>
          <w:rFonts w:cstheme="minorHAnsi"/>
        </w:rPr>
        <w:t>5</w:t>
      </w:r>
      <w:r w:rsidR="00872A5C">
        <w:rPr>
          <w:rFonts w:cstheme="minorHAnsi"/>
        </w:rPr>
        <w:t>.0</w:t>
      </w:r>
      <w:r w:rsidRPr="006C37B0">
        <w:rPr>
          <w:rFonts w:cstheme="minorHAnsi"/>
        </w:rPr>
        <w:t>m of net cash at the year end</w:t>
      </w:r>
      <w:r w:rsidR="00872A5C">
        <w:rPr>
          <w:rFonts w:cstheme="minorHAnsi"/>
        </w:rPr>
        <w:t xml:space="preserve"> and remains debt free</w:t>
      </w:r>
      <w:r w:rsidRPr="006C37B0">
        <w:rPr>
          <w:rFonts w:cstheme="minorHAnsi"/>
        </w:rPr>
        <w:t xml:space="preserve">. </w:t>
      </w:r>
      <w:r w:rsidR="00120ED7">
        <w:rPr>
          <w:rFonts w:cstheme="minorHAnsi"/>
        </w:rPr>
        <w:t xml:space="preserve"> </w:t>
      </w:r>
      <w:r w:rsidR="00120ED7" w:rsidRPr="006C37B0">
        <w:rPr>
          <w:rFonts w:cstheme="minorHAnsi"/>
          <w:color w:val="212721"/>
        </w:rPr>
        <w:t>Assets Under Management ("AUM") has grown to £1,187m (2021: £1,174m)</w:t>
      </w:r>
      <w:r w:rsidR="00120ED7">
        <w:rPr>
          <w:rFonts w:cstheme="minorHAnsi"/>
          <w:color w:val="212721"/>
        </w:rPr>
        <w:t xml:space="preserve"> during the year £129m of new AUM was added within the advisory business.</w:t>
      </w:r>
    </w:p>
    <w:p w14:paraId="32B9ABE2" w14:textId="01CEF570" w:rsidR="005D7FE2" w:rsidRPr="006C37B0" w:rsidRDefault="00CF4050" w:rsidP="005D7FE2">
      <w:pPr>
        <w:jc w:val="both"/>
        <w:rPr>
          <w:rFonts w:cstheme="minorHAnsi"/>
        </w:rPr>
      </w:pPr>
      <w:r>
        <w:rPr>
          <w:rFonts w:cstheme="minorHAnsi"/>
        </w:rPr>
        <w:t>T</w:t>
      </w:r>
      <w:r w:rsidR="005D7FE2" w:rsidRPr="006C37B0">
        <w:rPr>
          <w:rFonts w:cstheme="minorHAnsi"/>
        </w:rPr>
        <w:t>his</w:t>
      </w:r>
      <w:r w:rsidR="008858F2" w:rsidRPr="006C37B0">
        <w:rPr>
          <w:rFonts w:cstheme="minorHAnsi"/>
        </w:rPr>
        <w:t xml:space="preserve"> performance</w:t>
      </w:r>
      <w:r w:rsidR="005D7FE2" w:rsidRPr="006C37B0">
        <w:rPr>
          <w:rFonts w:cstheme="minorHAnsi"/>
        </w:rPr>
        <w:t xml:space="preserve"> demonstrates the </w:t>
      </w:r>
      <w:r w:rsidR="00872A5C">
        <w:rPr>
          <w:rFonts w:cstheme="minorHAnsi"/>
        </w:rPr>
        <w:t>C</w:t>
      </w:r>
      <w:r w:rsidR="006B11B8" w:rsidRPr="006C37B0">
        <w:rPr>
          <w:rFonts w:cstheme="minorHAnsi"/>
        </w:rPr>
        <w:t>ompany’s</w:t>
      </w:r>
      <w:r w:rsidR="005D7FE2" w:rsidRPr="006C37B0">
        <w:rPr>
          <w:rFonts w:cstheme="minorHAnsi"/>
        </w:rPr>
        <w:t xml:space="preserve"> resilience </w:t>
      </w:r>
      <w:r w:rsidR="006B11B8" w:rsidRPr="006C37B0">
        <w:rPr>
          <w:rFonts w:cstheme="minorHAnsi"/>
        </w:rPr>
        <w:t>in</w:t>
      </w:r>
      <w:r w:rsidR="005D7FE2" w:rsidRPr="006C37B0">
        <w:rPr>
          <w:rFonts w:cstheme="minorHAnsi"/>
        </w:rPr>
        <w:t xml:space="preserve"> a </w:t>
      </w:r>
      <w:r w:rsidR="006B11B8" w:rsidRPr="006C37B0">
        <w:rPr>
          <w:rFonts w:cstheme="minorHAnsi"/>
        </w:rPr>
        <w:t>challenging</w:t>
      </w:r>
      <w:r w:rsidR="005D7FE2" w:rsidRPr="006C37B0">
        <w:rPr>
          <w:rFonts w:cstheme="minorHAnsi"/>
        </w:rPr>
        <w:t xml:space="preserve"> </w:t>
      </w:r>
      <w:r w:rsidR="00123EA5" w:rsidRPr="006C37B0">
        <w:rPr>
          <w:rFonts w:cstheme="minorHAnsi"/>
        </w:rPr>
        <w:t xml:space="preserve">financial </w:t>
      </w:r>
      <w:r w:rsidR="005D7FE2" w:rsidRPr="006C37B0">
        <w:rPr>
          <w:rFonts w:cstheme="minorHAnsi"/>
        </w:rPr>
        <w:t>market</w:t>
      </w:r>
      <w:r w:rsidR="00822246" w:rsidRPr="006C37B0">
        <w:rPr>
          <w:rFonts w:cstheme="minorHAnsi"/>
        </w:rPr>
        <w:t>,</w:t>
      </w:r>
      <w:r w:rsidR="005D7FE2" w:rsidRPr="006C37B0">
        <w:rPr>
          <w:rFonts w:cstheme="minorHAnsi"/>
        </w:rPr>
        <w:t xml:space="preserve"> </w:t>
      </w:r>
      <w:r w:rsidR="00063CBD" w:rsidRPr="006C37B0">
        <w:rPr>
          <w:rFonts w:cstheme="minorHAnsi"/>
        </w:rPr>
        <w:t>as well as</w:t>
      </w:r>
      <w:r w:rsidR="008858F2" w:rsidRPr="006C37B0">
        <w:rPr>
          <w:rFonts w:cstheme="minorHAnsi"/>
        </w:rPr>
        <w:t xml:space="preserve"> the progress made</w:t>
      </w:r>
      <w:r w:rsidR="00063CBD" w:rsidRPr="006C37B0">
        <w:rPr>
          <w:rFonts w:cstheme="minorHAnsi"/>
        </w:rPr>
        <w:t xml:space="preserve"> by the Company</w:t>
      </w:r>
      <w:r w:rsidR="007840D0">
        <w:rPr>
          <w:rFonts w:cstheme="minorHAnsi"/>
        </w:rPr>
        <w:t xml:space="preserve"> in diversifying revenue streams</w:t>
      </w:r>
      <w:r w:rsidR="008858F2" w:rsidRPr="006C37B0">
        <w:rPr>
          <w:rFonts w:cstheme="minorHAnsi"/>
        </w:rPr>
        <w:t xml:space="preserve"> via its focused acquisition strategy</w:t>
      </w:r>
      <w:r w:rsidR="00123EA5" w:rsidRPr="006C37B0">
        <w:rPr>
          <w:rFonts w:cstheme="minorHAnsi"/>
        </w:rPr>
        <w:t xml:space="preserve"> and consolidation of the </w:t>
      </w:r>
      <w:r w:rsidR="00822246" w:rsidRPr="006C37B0">
        <w:rPr>
          <w:rFonts w:cstheme="minorHAnsi"/>
        </w:rPr>
        <w:t>P</w:t>
      </w:r>
      <w:r w:rsidR="00123EA5" w:rsidRPr="006C37B0">
        <w:rPr>
          <w:rFonts w:cstheme="minorHAnsi"/>
        </w:rPr>
        <w:t xml:space="preserve">ersonal </w:t>
      </w:r>
      <w:r w:rsidR="00822246" w:rsidRPr="006C37B0">
        <w:rPr>
          <w:rFonts w:cstheme="minorHAnsi"/>
        </w:rPr>
        <w:t>I</w:t>
      </w:r>
      <w:r w:rsidR="00123EA5" w:rsidRPr="006C37B0">
        <w:rPr>
          <w:rFonts w:cstheme="minorHAnsi"/>
        </w:rPr>
        <w:t>njury</w:t>
      </w:r>
      <w:r w:rsidR="00822246" w:rsidRPr="006C37B0">
        <w:rPr>
          <w:rFonts w:cstheme="minorHAnsi"/>
        </w:rPr>
        <w:t xml:space="preserve"> (PI)</w:t>
      </w:r>
      <w:r w:rsidR="00123EA5" w:rsidRPr="006C37B0">
        <w:rPr>
          <w:rFonts w:cstheme="minorHAnsi"/>
        </w:rPr>
        <w:t xml:space="preserve"> and </w:t>
      </w:r>
      <w:r w:rsidR="00822246" w:rsidRPr="006C37B0">
        <w:rPr>
          <w:rFonts w:cstheme="minorHAnsi"/>
        </w:rPr>
        <w:t>C</w:t>
      </w:r>
      <w:r w:rsidR="00123EA5" w:rsidRPr="006C37B0">
        <w:rPr>
          <w:rFonts w:cstheme="minorHAnsi"/>
        </w:rPr>
        <w:t xml:space="preserve">linical </w:t>
      </w:r>
      <w:r w:rsidR="00822246" w:rsidRPr="006C37B0">
        <w:rPr>
          <w:rFonts w:cstheme="minorHAnsi"/>
        </w:rPr>
        <w:t>N</w:t>
      </w:r>
      <w:r w:rsidR="00123EA5" w:rsidRPr="006C37B0">
        <w:rPr>
          <w:rFonts w:cstheme="minorHAnsi"/>
        </w:rPr>
        <w:t>egligence</w:t>
      </w:r>
      <w:r w:rsidR="00822246" w:rsidRPr="006C37B0">
        <w:rPr>
          <w:rFonts w:cstheme="minorHAnsi"/>
        </w:rPr>
        <w:t xml:space="preserve"> (CN)</w:t>
      </w:r>
      <w:r w:rsidR="00123EA5" w:rsidRPr="006C37B0">
        <w:rPr>
          <w:rFonts w:cstheme="minorHAnsi"/>
        </w:rPr>
        <w:t xml:space="preserve"> space</w:t>
      </w:r>
      <w:r w:rsidR="005D7FE2" w:rsidRPr="006C37B0">
        <w:rPr>
          <w:rFonts w:cstheme="minorHAnsi"/>
        </w:rPr>
        <w:t>.</w:t>
      </w:r>
    </w:p>
    <w:p w14:paraId="073E8D42" w14:textId="020EBB92" w:rsidR="008F1E29" w:rsidRDefault="00E871CD" w:rsidP="005D7FE2">
      <w:pPr>
        <w:jc w:val="both"/>
        <w:rPr>
          <w:rFonts w:cstheme="minorHAnsi"/>
          <w:color w:val="212721"/>
        </w:rPr>
      </w:pPr>
      <w:r w:rsidRPr="006C37B0">
        <w:rPr>
          <w:rFonts w:cstheme="minorHAnsi"/>
          <w:color w:val="212721"/>
        </w:rPr>
        <w:t>Of note is</w:t>
      </w:r>
      <w:r w:rsidR="00872A5C">
        <w:rPr>
          <w:rFonts w:cstheme="minorHAnsi"/>
          <w:color w:val="212721"/>
        </w:rPr>
        <w:t xml:space="preserve"> the</w:t>
      </w:r>
      <w:r w:rsidRPr="006C37B0">
        <w:rPr>
          <w:rFonts w:cstheme="minorHAnsi"/>
          <w:color w:val="212721"/>
        </w:rPr>
        <w:t xml:space="preserve"> performance of the Group’s discretionary fund manager, Ascencia</w:t>
      </w:r>
      <w:r w:rsidR="00B2733F" w:rsidRPr="006C37B0">
        <w:rPr>
          <w:rFonts w:cstheme="minorHAnsi"/>
          <w:color w:val="212721"/>
        </w:rPr>
        <w:t xml:space="preserve"> Investment Management</w:t>
      </w:r>
      <w:r w:rsidR="00B1594B">
        <w:rPr>
          <w:rFonts w:cstheme="minorHAnsi"/>
          <w:color w:val="212721"/>
        </w:rPr>
        <w:t xml:space="preserve"> (“</w:t>
      </w:r>
      <w:r w:rsidR="00B1594B" w:rsidRPr="006C37B0">
        <w:rPr>
          <w:rFonts w:cstheme="minorHAnsi"/>
          <w:color w:val="212721"/>
        </w:rPr>
        <w:t>Ascencia</w:t>
      </w:r>
      <w:r w:rsidR="00B1594B">
        <w:rPr>
          <w:rFonts w:cstheme="minorHAnsi"/>
          <w:color w:val="212721"/>
        </w:rPr>
        <w:t>”)</w:t>
      </w:r>
      <w:r w:rsidRPr="006C37B0">
        <w:rPr>
          <w:rFonts w:cstheme="minorHAnsi"/>
          <w:color w:val="212721"/>
        </w:rPr>
        <w:t>, where</w:t>
      </w:r>
      <w:r w:rsidR="00FD0A7F" w:rsidRPr="006C37B0">
        <w:rPr>
          <w:rFonts w:cstheme="minorHAnsi"/>
          <w:color w:val="212721"/>
        </w:rPr>
        <w:t xml:space="preserve"> assets on a DFM Mandate increased to £</w:t>
      </w:r>
      <w:r w:rsidR="00211DB5" w:rsidRPr="006C37B0">
        <w:rPr>
          <w:rFonts w:cstheme="minorHAnsi"/>
          <w:color w:val="212721"/>
        </w:rPr>
        <w:t>715</w:t>
      </w:r>
      <w:r w:rsidR="00FD0A7F" w:rsidRPr="006C37B0">
        <w:rPr>
          <w:rFonts w:cstheme="minorHAnsi"/>
          <w:color w:val="212721"/>
        </w:rPr>
        <w:t>m (202</w:t>
      </w:r>
      <w:r w:rsidR="00822246" w:rsidRPr="006C37B0">
        <w:rPr>
          <w:rFonts w:cstheme="minorHAnsi"/>
          <w:color w:val="212721"/>
        </w:rPr>
        <w:t>1</w:t>
      </w:r>
      <w:r w:rsidR="00FD0A7F" w:rsidRPr="006C37B0">
        <w:rPr>
          <w:rFonts w:cstheme="minorHAnsi"/>
          <w:color w:val="212721"/>
        </w:rPr>
        <w:t>: £676m)</w:t>
      </w:r>
      <w:r w:rsidR="00872A5C">
        <w:rPr>
          <w:rFonts w:cstheme="minorHAnsi"/>
          <w:color w:val="212721"/>
        </w:rPr>
        <w:t>.</w:t>
      </w:r>
      <w:r w:rsidRPr="006C37B0">
        <w:rPr>
          <w:rFonts w:cstheme="minorHAnsi"/>
          <w:color w:val="212721"/>
        </w:rPr>
        <w:t xml:space="preserve"> </w:t>
      </w:r>
      <w:r w:rsidR="008F1E29">
        <w:rPr>
          <w:rFonts w:cstheme="minorHAnsi"/>
          <w:color w:val="212721"/>
        </w:rPr>
        <w:t xml:space="preserve"> </w:t>
      </w:r>
    </w:p>
    <w:p w14:paraId="1803D0CD" w14:textId="68D9E20F" w:rsidR="00E871CD" w:rsidRPr="006C37B0" w:rsidRDefault="006B11B8" w:rsidP="005D7FE2">
      <w:pPr>
        <w:jc w:val="both"/>
        <w:rPr>
          <w:rFonts w:cstheme="minorHAnsi"/>
          <w:color w:val="212721"/>
        </w:rPr>
      </w:pPr>
      <w:r w:rsidRPr="006C37B0">
        <w:rPr>
          <w:rFonts w:cstheme="minorHAnsi"/>
          <w:color w:val="212721"/>
        </w:rPr>
        <w:t xml:space="preserve">Comparing </w:t>
      </w:r>
      <w:proofErr w:type="spellStart"/>
      <w:r w:rsidRPr="006C37B0">
        <w:rPr>
          <w:rFonts w:cstheme="minorHAnsi"/>
          <w:color w:val="212721"/>
        </w:rPr>
        <w:t>Ascencia’s</w:t>
      </w:r>
      <w:proofErr w:type="spellEnd"/>
      <w:r w:rsidR="00E871CD" w:rsidRPr="006C37B0">
        <w:rPr>
          <w:rFonts w:cstheme="minorHAnsi"/>
          <w:color w:val="212721"/>
        </w:rPr>
        <w:t xml:space="preserve"> positive performance </w:t>
      </w:r>
      <w:r w:rsidRPr="006C37B0">
        <w:rPr>
          <w:rFonts w:cstheme="minorHAnsi"/>
          <w:color w:val="212721"/>
        </w:rPr>
        <w:t xml:space="preserve">against a backdrop of wider market </w:t>
      </w:r>
      <w:r w:rsidR="00872A5C">
        <w:rPr>
          <w:rFonts w:cstheme="minorHAnsi"/>
          <w:color w:val="212721"/>
        </w:rPr>
        <w:t>contraction</w:t>
      </w:r>
      <w:r w:rsidR="00B1594B">
        <w:rPr>
          <w:rFonts w:cstheme="minorHAnsi"/>
          <w:color w:val="212721"/>
        </w:rPr>
        <w:t xml:space="preserve"> and material outflows</w:t>
      </w:r>
      <w:r w:rsidRPr="006C37B0">
        <w:rPr>
          <w:rFonts w:cstheme="minorHAnsi"/>
          <w:color w:val="212721"/>
        </w:rPr>
        <w:t xml:space="preserve"> further demonstrates </w:t>
      </w:r>
      <w:proofErr w:type="spellStart"/>
      <w:r w:rsidR="00E871CD" w:rsidRPr="006C37B0">
        <w:rPr>
          <w:rFonts w:cstheme="minorHAnsi"/>
          <w:color w:val="212721"/>
        </w:rPr>
        <w:t>Ascencia</w:t>
      </w:r>
      <w:r w:rsidRPr="006C37B0">
        <w:rPr>
          <w:rFonts w:cstheme="minorHAnsi"/>
          <w:color w:val="212721"/>
        </w:rPr>
        <w:t>’s</w:t>
      </w:r>
      <w:proofErr w:type="spellEnd"/>
      <w:r w:rsidRPr="006C37B0">
        <w:rPr>
          <w:rFonts w:cstheme="minorHAnsi"/>
          <w:color w:val="212721"/>
        </w:rPr>
        <w:t xml:space="preserve"> </w:t>
      </w:r>
      <w:r w:rsidR="00B1594B">
        <w:rPr>
          <w:rFonts w:cstheme="minorHAnsi"/>
          <w:color w:val="212721"/>
        </w:rPr>
        <w:t>success</w:t>
      </w:r>
      <w:r w:rsidRPr="006C37B0">
        <w:rPr>
          <w:rFonts w:cstheme="minorHAnsi"/>
          <w:color w:val="212721"/>
        </w:rPr>
        <w:t xml:space="preserve"> in managing </w:t>
      </w:r>
      <w:r w:rsidR="00B2733F" w:rsidRPr="006C37B0">
        <w:rPr>
          <w:rFonts w:cstheme="minorHAnsi"/>
        </w:rPr>
        <w:t xml:space="preserve">multi-asset investment solutions that are positioned to capture the upside of market fluctuations, while aiming to reduce the negative impact of market turbulence on </w:t>
      </w:r>
      <w:r w:rsidRPr="006C37B0">
        <w:rPr>
          <w:rFonts w:cstheme="minorHAnsi"/>
          <w:color w:val="212721"/>
        </w:rPr>
        <w:t>client assets</w:t>
      </w:r>
      <w:r w:rsidR="00B2733F" w:rsidRPr="006C37B0">
        <w:rPr>
          <w:rFonts w:cstheme="minorHAnsi"/>
          <w:color w:val="212721"/>
        </w:rPr>
        <w:t>.</w:t>
      </w:r>
    </w:p>
    <w:p w14:paraId="19C1CC49" w14:textId="3C52F13A" w:rsidR="007840D0" w:rsidRPr="006C37B0" w:rsidRDefault="00B2733F" w:rsidP="007840D0">
      <w:pPr>
        <w:jc w:val="both"/>
        <w:rPr>
          <w:rFonts w:cstheme="minorHAnsi"/>
        </w:rPr>
      </w:pPr>
      <w:proofErr w:type="spellStart"/>
      <w:r w:rsidRPr="006C37B0">
        <w:rPr>
          <w:rFonts w:cstheme="minorHAnsi"/>
        </w:rPr>
        <w:t>Ascencia’s</w:t>
      </w:r>
      <w:proofErr w:type="spellEnd"/>
      <w:r w:rsidRPr="006C37B0">
        <w:rPr>
          <w:rFonts w:cstheme="minorHAnsi"/>
        </w:rPr>
        <w:t xml:space="preserve"> strong performance </w:t>
      </w:r>
      <w:r w:rsidR="00500E0F">
        <w:rPr>
          <w:rFonts w:cstheme="minorHAnsi"/>
        </w:rPr>
        <w:t>in the previous</w:t>
      </w:r>
      <w:r w:rsidR="00B1594B">
        <w:rPr>
          <w:rFonts w:cstheme="minorHAnsi"/>
        </w:rPr>
        <w:t xml:space="preserve"> financial</w:t>
      </w:r>
      <w:r w:rsidRPr="006C37B0">
        <w:rPr>
          <w:rFonts w:cstheme="minorHAnsi"/>
        </w:rPr>
        <w:t xml:space="preserve"> year continue</w:t>
      </w:r>
      <w:r w:rsidR="00500E0F">
        <w:rPr>
          <w:rFonts w:cstheme="minorHAnsi"/>
        </w:rPr>
        <w:t>d last</w:t>
      </w:r>
      <w:r w:rsidR="006C37B0" w:rsidRPr="006C37B0">
        <w:rPr>
          <w:rFonts w:cstheme="minorHAnsi"/>
        </w:rPr>
        <w:t xml:space="preserve"> year, with the core risk-rated strategies outperforming their respective Private Client Indices/ARC indices. </w:t>
      </w:r>
      <w:r w:rsidRPr="006C37B0">
        <w:rPr>
          <w:rFonts w:cstheme="minorHAnsi"/>
        </w:rPr>
        <w:t>It is testament to the Group’s in-house strategy and approach to risk management and something the Board is justifiably proud of.</w:t>
      </w:r>
      <w:r w:rsidR="007840D0" w:rsidRPr="007840D0">
        <w:rPr>
          <w:rFonts w:cstheme="minorHAnsi"/>
        </w:rPr>
        <w:t xml:space="preserve"> </w:t>
      </w:r>
      <w:r w:rsidR="007840D0" w:rsidRPr="006C37B0">
        <w:rPr>
          <w:rFonts w:cstheme="minorHAnsi"/>
        </w:rPr>
        <w:t xml:space="preserve">The Company views the Ascencia platform as a clear growth opportunity in the coming years and a key tool to winning future business. Ascencia </w:t>
      </w:r>
      <w:r w:rsidR="0026495F">
        <w:rPr>
          <w:rFonts w:cstheme="minorHAnsi"/>
        </w:rPr>
        <w:t xml:space="preserve">portfolios are currently defensively positioned given the uncertain and opaque investment outlook, </w:t>
      </w:r>
      <w:r w:rsidR="00640AA6">
        <w:rPr>
          <w:rFonts w:cstheme="minorHAnsi"/>
        </w:rPr>
        <w:t xml:space="preserve">with cash </w:t>
      </w:r>
      <w:r w:rsidR="0026495F">
        <w:rPr>
          <w:rFonts w:cstheme="minorHAnsi"/>
        </w:rPr>
        <w:t>ready to be deployed should the opportunity arise.</w:t>
      </w:r>
      <w:r w:rsidR="007840D0" w:rsidRPr="006C37B0">
        <w:rPr>
          <w:rFonts w:cstheme="minorHAnsi"/>
        </w:rPr>
        <w:t xml:space="preserve"> </w:t>
      </w:r>
    </w:p>
    <w:p w14:paraId="46C95210" w14:textId="163FC4E6" w:rsidR="001B5021" w:rsidRPr="006C37B0" w:rsidRDefault="00822246" w:rsidP="001B5021">
      <w:pPr>
        <w:jc w:val="both"/>
        <w:rPr>
          <w:rFonts w:cstheme="minorHAnsi"/>
        </w:rPr>
      </w:pPr>
      <w:r w:rsidRPr="006C37B0">
        <w:rPr>
          <w:rFonts w:cstheme="minorHAnsi"/>
        </w:rPr>
        <w:lastRenderedPageBreak/>
        <w:t>T</w:t>
      </w:r>
      <w:r w:rsidR="005D7FE2" w:rsidRPr="006C37B0">
        <w:rPr>
          <w:rFonts w:cstheme="minorHAnsi"/>
        </w:rPr>
        <w:t>he Company has</w:t>
      </w:r>
      <w:r w:rsidRPr="006C37B0">
        <w:rPr>
          <w:rFonts w:cstheme="minorHAnsi"/>
        </w:rPr>
        <w:t xml:space="preserve"> </w:t>
      </w:r>
      <w:r w:rsidR="00500E0F">
        <w:rPr>
          <w:rFonts w:cstheme="minorHAnsi"/>
        </w:rPr>
        <w:t xml:space="preserve">of course </w:t>
      </w:r>
      <w:r w:rsidR="005D7FE2" w:rsidRPr="006C37B0">
        <w:rPr>
          <w:rFonts w:cstheme="minorHAnsi"/>
        </w:rPr>
        <w:t xml:space="preserve">not been entirely immune to challenging market </w:t>
      </w:r>
      <w:r w:rsidR="001B5021" w:rsidRPr="006C37B0">
        <w:rPr>
          <w:rFonts w:cstheme="minorHAnsi"/>
        </w:rPr>
        <w:t>conditions during the year. However, the</w:t>
      </w:r>
      <w:r w:rsidR="008F1E29">
        <w:rPr>
          <w:rFonts w:cstheme="minorHAnsi"/>
        </w:rPr>
        <w:t xml:space="preserve"> modest</w:t>
      </w:r>
      <w:r w:rsidR="001B5021" w:rsidRPr="006C37B0">
        <w:rPr>
          <w:rFonts w:cstheme="minorHAnsi"/>
        </w:rPr>
        <w:t xml:space="preserve"> impact</w:t>
      </w:r>
      <w:r w:rsidR="008F1E29">
        <w:rPr>
          <w:rFonts w:cstheme="minorHAnsi"/>
        </w:rPr>
        <w:t xml:space="preserve"> on the Group’s recurring revenue</w:t>
      </w:r>
      <w:r w:rsidR="007840D0">
        <w:rPr>
          <w:rFonts w:cstheme="minorHAnsi"/>
        </w:rPr>
        <w:t>,</w:t>
      </w:r>
      <w:r w:rsidR="008F1E29">
        <w:rPr>
          <w:rFonts w:cstheme="minorHAnsi"/>
        </w:rPr>
        <w:t xml:space="preserve"> has been replaced by transactional revenue delivered by the Group’s businesses acquired during the last 3 years</w:t>
      </w:r>
      <w:r w:rsidR="007840D0">
        <w:rPr>
          <w:rFonts w:cstheme="minorHAnsi"/>
        </w:rPr>
        <w:t xml:space="preserve">, </w:t>
      </w:r>
      <w:r w:rsidR="009D5410">
        <w:rPr>
          <w:rFonts w:cstheme="minorHAnsi"/>
        </w:rPr>
        <w:t>proving out</w:t>
      </w:r>
      <w:r w:rsidR="007840D0">
        <w:rPr>
          <w:rFonts w:cstheme="minorHAnsi"/>
        </w:rPr>
        <w:t xml:space="preserve"> the strategy of diversifying revenue streams.</w:t>
      </w:r>
      <w:r w:rsidR="008F1E29">
        <w:rPr>
          <w:rFonts w:cstheme="minorHAnsi"/>
        </w:rPr>
        <w:t xml:space="preserve"> </w:t>
      </w:r>
      <w:r w:rsidR="007840D0">
        <w:rPr>
          <w:rFonts w:cstheme="minorHAnsi"/>
        </w:rPr>
        <w:t>B</w:t>
      </w:r>
      <w:r w:rsidR="008F1E29">
        <w:rPr>
          <w:rFonts w:cstheme="minorHAnsi"/>
        </w:rPr>
        <w:t>y their nature the margin profile is a little different</w:t>
      </w:r>
      <w:r w:rsidR="007840D0">
        <w:rPr>
          <w:rFonts w:cstheme="minorHAnsi"/>
        </w:rPr>
        <w:t xml:space="preserve"> on the transaction revenue</w:t>
      </w:r>
      <w:r w:rsidR="008F1E29">
        <w:rPr>
          <w:rFonts w:cstheme="minorHAnsi"/>
        </w:rPr>
        <w:t xml:space="preserve"> and certain </w:t>
      </w:r>
      <w:r w:rsidR="007840D0">
        <w:rPr>
          <w:rFonts w:cstheme="minorHAnsi"/>
        </w:rPr>
        <w:t xml:space="preserve">essential staff </w:t>
      </w:r>
      <w:r w:rsidR="008F1E29">
        <w:rPr>
          <w:rFonts w:cstheme="minorHAnsi"/>
        </w:rPr>
        <w:t>costs and wage inflation has had a modest impact in the latter part of the year</w:t>
      </w:r>
      <w:r w:rsidR="007840D0">
        <w:rPr>
          <w:rFonts w:cstheme="minorHAnsi"/>
        </w:rPr>
        <w:t xml:space="preserve">, as well as funding the </w:t>
      </w:r>
      <w:r w:rsidR="009D5410">
        <w:rPr>
          <w:rFonts w:cstheme="minorHAnsi"/>
        </w:rPr>
        <w:t>start-up</w:t>
      </w:r>
      <w:r w:rsidR="007840D0">
        <w:rPr>
          <w:rFonts w:cstheme="minorHAnsi"/>
        </w:rPr>
        <w:t xml:space="preserve"> of Keystone Case Management</w:t>
      </w:r>
      <w:r w:rsidR="008F1E29">
        <w:rPr>
          <w:rFonts w:cstheme="minorHAnsi"/>
        </w:rPr>
        <w:t xml:space="preserve">. </w:t>
      </w:r>
    </w:p>
    <w:p w14:paraId="080FCA7D" w14:textId="024B7E64" w:rsidR="001B5021" w:rsidRPr="006C37B0" w:rsidRDefault="007840D0" w:rsidP="001B5021">
      <w:pPr>
        <w:jc w:val="both"/>
        <w:rPr>
          <w:rFonts w:cstheme="minorHAnsi"/>
        </w:rPr>
      </w:pPr>
      <w:r>
        <w:rPr>
          <w:rFonts w:cstheme="minorHAnsi"/>
          <w:color w:val="212721"/>
        </w:rPr>
        <w:t>T</w:t>
      </w:r>
      <w:r w:rsidR="001B5021" w:rsidRPr="006C37B0">
        <w:rPr>
          <w:rFonts w:cstheme="minorHAnsi"/>
          <w:color w:val="212721"/>
        </w:rPr>
        <w:t>he Company is also pleased to again report its outstanding client retention rates at 99%.</w:t>
      </w:r>
    </w:p>
    <w:p w14:paraId="60D7C5A5" w14:textId="2D03BE70" w:rsidR="00FD0A7F" w:rsidRPr="006C37B0" w:rsidRDefault="00FD0A7F" w:rsidP="00FD0A7F">
      <w:pPr>
        <w:pStyle w:val="bq"/>
        <w:spacing w:before="0" w:beforeAutospacing="0" w:after="270" w:afterAutospacing="0"/>
        <w:jc w:val="both"/>
        <w:rPr>
          <w:rFonts w:asciiTheme="minorHAnsi" w:eastAsiaTheme="minorHAnsi" w:hAnsiTheme="minorHAnsi" w:cstheme="minorHAnsi"/>
          <w:sz w:val="22"/>
          <w:szCs w:val="22"/>
          <w:lang w:eastAsia="en-US"/>
        </w:rPr>
      </w:pPr>
      <w:r w:rsidRPr="006C37B0">
        <w:rPr>
          <w:rFonts w:asciiTheme="minorHAnsi" w:eastAsiaTheme="minorHAnsi" w:hAnsiTheme="minorHAnsi" w:cstheme="minorHAnsi"/>
          <w:sz w:val="22"/>
          <w:szCs w:val="22"/>
          <w:lang w:eastAsia="en-US"/>
        </w:rPr>
        <w:t xml:space="preserve">The Company continued to make significant progress delivering against its strategy of consolidating the pre-settlement professional services marketplace in the PI and CN space, positioning Frenkel Topping as a market leader in its sector. During the first part of the year </w:t>
      </w:r>
      <w:r w:rsidR="006B6CB0" w:rsidRPr="006C37B0">
        <w:rPr>
          <w:rFonts w:asciiTheme="minorHAnsi" w:eastAsiaTheme="minorHAnsi" w:hAnsiTheme="minorHAnsi" w:cstheme="minorHAnsi"/>
          <w:sz w:val="22"/>
          <w:szCs w:val="22"/>
          <w:lang w:eastAsia="en-US"/>
        </w:rPr>
        <w:t>the Company</w:t>
      </w:r>
      <w:r w:rsidRPr="006C37B0">
        <w:rPr>
          <w:rFonts w:asciiTheme="minorHAnsi" w:eastAsiaTheme="minorHAnsi" w:hAnsiTheme="minorHAnsi" w:cstheme="minorHAnsi"/>
          <w:sz w:val="22"/>
          <w:szCs w:val="22"/>
          <w:lang w:eastAsia="en-US"/>
        </w:rPr>
        <w:t xml:space="preserve"> acquired Cardinal Management Limited</w:t>
      </w:r>
      <w:r w:rsidR="009D5410">
        <w:rPr>
          <w:rFonts w:asciiTheme="minorHAnsi" w:eastAsiaTheme="minorHAnsi" w:hAnsiTheme="minorHAnsi" w:cstheme="minorHAnsi"/>
          <w:sz w:val="22"/>
          <w:szCs w:val="22"/>
          <w:lang w:eastAsia="en-US"/>
        </w:rPr>
        <w:t>, which is performing to plan,</w:t>
      </w:r>
      <w:r w:rsidR="006B6CB0" w:rsidRPr="006C37B0">
        <w:rPr>
          <w:rFonts w:asciiTheme="minorHAnsi" w:eastAsiaTheme="minorHAnsi" w:hAnsiTheme="minorHAnsi" w:cstheme="minorHAnsi"/>
          <w:sz w:val="22"/>
          <w:szCs w:val="22"/>
          <w:lang w:eastAsia="en-US"/>
        </w:rPr>
        <w:t xml:space="preserve"> and it</w:t>
      </w:r>
      <w:r w:rsidRPr="006C37B0">
        <w:rPr>
          <w:rFonts w:asciiTheme="minorHAnsi" w:eastAsiaTheme="minorHAnsi" w:hAnsiTheme="minorHAnsi" w:cstheme="minorHAnsi"/>
          <w:sz w:val="22"/>
          <w:szCs w:val="22"/>
          <w:lang w:eastAsia="en-US"/>
        </w:rPr>
        <w:t xml:space="preserve"> raised a further £10m in July 2022 to support the</w:t>
      </w:r>
      <w:r w:rsidR="006B6CB0" w:rsidRPr="006C37B0">
        <w:rPr>
          <w:rFonts w:asciiTheme="minorHAnsi" w:eastAsiaTheme="minorHAnsi" w:hAnsiTheme="minorHAnsi" w:cstheme="minorHAnsi"/>
          <w:sz w:val="22"/>
          <w:szCs w:val="22"/>
          <w:lang w:eastAsia="en-US"/>
        </w:rPr>
        <w:t xml:space="preserve"> M&amp;A</w:t>
      </w:r>
      <w:r w:rsidRPr="006C37B0">
        <w:rPr>
          <w:rFonts w:asciiTheme="minorHAnsi" w:eastAsiaTheme="minorHAnsi" w:hAnsiTheme="minorHAnsi" w:cstheme="minorHAnsi"/>
          <w:sz w:val="22"/>
          <w:szCs w:val="22"/>
          <w:lang w:eastAsia="en-US"/>
        </w:rPr>
        <w:t xml:space="preserve"> strategy</w:t>
      </w:r>
      <w:r w:rsidR="006B6CB0" w:rsidRPr="006C37B0">
        <w:rPr>
          <w:rFonts w:asciiTheme="minorHAnsi" w:eastAsiaTheme="minorHAnsi" w:hAnsiTheme="minorHAnsi" w:cstheme="minorHAnsi"/>
          <w:sz w:val="22"/>
          <w:szCs w:val="22"/>
          <w:lang w:eastAsia="en-US"/>
        </w:rPr>
        <w:t>,</w:t>
      </w:r>
      <w:r w:rsidRPr="006C37B0">
        <w:rPr>
          <w:rFonts w:asciiTheme="minorHAnsi" w:eastAsiaTheme="minorHAnsi" w:hAnsiTheme="minorHAnsi" w:cstheme="minorHAnsi"/>
          <w:sz w:val="22"/>
          <w:szCs w:val="22"/>
          <w:lang w:eastAsia="en-US"/>
        </w:rPr>
        <w:t xml:space="preserve"> complet</w:t>
      </w:r>
      <w:r w:rsidR="006B6CB0" w:rsidRPr="006C37B0">
        <w:rPr>
          <w:rFonts w:asciiTheme="minorHAnsi" w:eastAsiaTheme="minorHAnsi" w:hAnsiTheme="minorHAnsi" w:cstheme="minorHAnsi"/>
          <w:sz w:val="22"/>
          <w:szCs w:val="22"/>
          <w:lang w:eastAsia="en-US"/>
        </w:rPr>
        <w:t>ing</w:t>
      </w:r>
      <w:r w:rsidRPr="006C37B0">
        <w:rPr>
          <w:rFonts w:asciiTheme="minorHAnsi" w:eastAsiaTheme="minorHAnsi" w:hAnsiTheme="minorHAnsi" w:cstheme="minorHAnsi"/>
          <w:sz w:val="22"/>
          <w:szCs w:val="22"/>
          <w:lang w:eastAsia="en-US"/>
        </w:rPr>
        <w:t xml:space="preserve"> two further acquisitions of Somek and Associates Ltd and N-Able Service</w:t>
      </w:r>
      <w:r w:rsidR="000C69B0">
        <w:rPr>
          <w:rFonts w:asciiTheme="minorHAnsi" w:eastAsiaTheme="minorHAnsi" w:hAnsiTheme="minorHAnsi" w:cstheme="minorHAnsi"/>
          <w:sz w:val="22"/>
          <w:szCs w:val="22"/>
          <w:lang w:eastAsia="en-US"/>
        </w:rPr>
        <w:t>s</w:t>
      </w:r>
      <w:r w:rsidRPr="006C37B0">
        <w:rPr>
          <w:rFonts w:asciiTheme="minorHAnsi" w:eastAsiaTheme="minorHAnsi" w:hAnsiTheme="minorHAnsi" w:cstheme="minorHAnsi"/>
          <w:sz w:val="22"/>
          <w:szCs w:val="22"/>
          <w:lang w:eastAsia="en-US"/>
        </w:rPr>
        <w:t xml:space="preserve"> Ltd in September 2022</w:t>
      </w:r>
      <w:r w:rsidR="00822246" w:rsidRPr="006C37B0">
        <w:rPr>
          <w:rFonts w:asciiTheme="minorHAnsi" w:eastAsiaTheme="minorHAnsi" w:hAnsiTheme="minorHAnsi" w:cstheme="minorHAnsi"/>
          <w:sz w:val="22"/>
          <w:szCs w:val="22"/>
          <w:lang w:eastAsia="en-US"/>
        </w:rPr>
        <w:t>, both of which have performed to plan</w:t>
      </w:r>
      <w:r w:rsidR="00500E0F">
        <w:rPr>
          <w:rFonts w:asciiTheme="minorHAnsi" w:eastAsiaTheme="minorHAnsi" w:hAnsiTheme="minorHAnsi" w:cstheme="minorHAnsi"/>
          <w:sz w:val="22"/>
          <w:szCs w:val="22"/>
          <w:lang w:eastAsia="en-US"/>
        </w:rPr>
        <w:t xml:space="preserve"> and in line with management’s expectations</w:t>
      </w:r>
      <w:r w:rsidRPr="006C37B0">
        <w:rPr>
          <w:rFonts w:asciiTheme="minorHAnsi" w:eastAsiaTheme="minorHAnsi" w:hAnsiTheme="minorHAnsi" w:cstheme="minorHAnsi"/>
          <w:sz w:val="22"/>
          <w:szCs w:val="22"/>
          <w:lang w:eastAsia="en-US"/>
        </w:rPr>
        <w:t>.</w:t>
      </w:r>
    </w:p>
    <w:p w14:paraId="5F9A1A81" w14:textId="77777777" w:rsidR="00954ED2" w:rsidRPr="006C37B0" w:rsidRDefault="00954ED2" w:rsidP="00954ED2">
      <w:pPr>
        <w:jc w:val="both"/>
        <w:rPr>
          <w:rFonts w:cstheme="minorHAnsi"/>
          <w:b/>
          <w:bCs/>
          <w:color w:val="212721"/>
          <w:u w:val="single"/>
        </w:rPr>
      </w:pPr>
      <w:r w:rsidRPr="006C37B0">
        <w:rPr>
          <w:rFonts w:cstheme="minorHAnsi"/>
          <w:b/>
          <w:bCs/>
          <w:color w:val="212721"/>
          <w:u w:val="single"/>
        </w:rPr>
        <w:t>Outlook</w:t>
      </w:r>
    </w:p>
    <w:p w14:paraId="35F7A99F" w14:textId="3DB61BFD" w:rsidR="006C37B0" w:rsidRPr="006C37B0" w:rsidRDefault="006B6CB0" w:rsidP="006C37B0">
      <w:pPr>
        <w:pStyle w:val="bq"/>
        <w:spacing w:before="0" w:beforeAutospacing="0" w:after="270" w:afterAutospacing="0"/>
        <w:jc w:val="both"/>
        <w:rPr>
          <w:rFonts w:asciiTheme="minorHAnsi" w:eastAsiaTheme="minorHAnsi" w:hAnsiTheme="minorHAnsi" w:cstheme="minorHAnsi"/>
          <w:sz w:val="22"/>
          <w:szCs w:val="22"/>
          <w:lang w:eastAsia="en-US"/>
        </w:rPr>
      </w:pPr>
      <w:r w:rsidRPr="006C37B0">
        <w:rPr>
          <w:rFonts w:asciiTheme="minorHAnsi" w:hAnsiTheme="minorHAnsi" w:cstheme="minorHAnsi"/>
          <w:sz w:val="22"/>
          <w:szCs w:val="22"/>
        </w:rPr>
        <w:t>T</w:t>
      </w:r>
      <w:r w:rsidR="008858F2" w:rsidRPr="006C37B0">
        <w:rPr>
          <w:rFonts w:asciiTheme="minorHAnsi" w:hAnsiTheme="minorHAnsi" w:cstheme="minorHAnsi"/>
          <w:sz w:val="22"/>
          <w:szCs w:val="22"/>
        </w:rPr>
        <w:t xml:space="preserve">he new financial year has started </w:t>
      </w:r>
      <w:proofErr w:type="gramStart"/>
      <w:r w:rsidR="008858F2" w:rsidRPr="006C37B0">
        <w:rPr>
          <w:rFonts w:asciiTheme="minorHAnsi" w:hAnsiTheme="minorHAnsi" w:cstheme="minorHAnsi"/>
          <w:sz w:val="22"/>
          <w:szCs w:val="22"/>
        </w:rPr>
        <w:t>well</w:t>
      </w:r>
      <w:proofErr w:type="gramEnd"/>
      <w:r w:rsidRPr="006C37B0">
        <w:rPr>
          <w:rFonts w:asciiTheme="minorHAnsi" w:hAnsiTheme="minorHAnsi" w:cstheme="minorHAnsi"/>
          <w:sz w:val="22"/>
          <w:szCs w:val="22"/>
        </w:rPr>
        <w:t xml:space="preserve"> and</w:t>
      </w:r>
      <w:r w:rsidR="008858F2" w:rsidRPr="006C37B0">
        <w:rPr>
          <w:rFonts w:asciiTheme="minorHAnsi" w:hAnsiTheme="minorHAnsi" w:cstheme="minorHAnsi"/>
          <w:sz w:val="22"/>
          <w:szCs w:val="22"/>
        </w:rPr>
        <w:t xml:space="preserve"> the Board is confident that the acquisitions made to date will continue to </w:t>
      </w:r>
      <w:r w:rsidR="0035608A" w:rsidRPr="006C37B0">
        <w:rPr>
          <w:rFonts w:asciiTheme="minorHAnsi" w:hAnsiTheme="minorHAnsi" w:cstheme="minorHAnsi"/>
          <w:sz w:val="22"/>
          <w:szCs w:val="22"/>
        </w:rPr>
        <w:t xml:space="preserve">contribute </w:t>
      </w:r>
      <w:r w:rsidR="008858F2" w:rsidRPr="006C37B0">
        <w:rPr>
          <w:rFonts w:asciiTheme="minorHAnsi" w:hAnsiTheme="minorHAnsi" w:cstheme="minorHAnsi"/>
          <w:sz w:val="22"/>
          <w:szCs w:val="22"/>
        </w:rPr>
        <w:t>revenue and profitable growth</w:t>
      </w:r>
      <w:r w:rsidR="0035608A" w:rsidRPr="006C37B0">
        <w:rPr>
          <w:rFonts w:asciiTheme="minorHAnsi" w:hAnsiTheme="minorHAnsi" w:cstheme="minorHAnsi"/>
          <w:sz w:val="22"/>
          <w:szCs w:val="22"/>
        </w:rPr>
        <w:t xml:space="preserve"> to the Group</w:t>
      </w:r>
      <w:r w:rsidR="008858F2" w:rsidRPr="006C37B0">
        <w:rPr>
          <w:rFonts w:asciiTheme="minorHAnsi" w:hAnsiTheme="minorHAnsi" w:cstheme="minorHAnsi"/>
          <w:sz w:val="22"/>
          <w:szCs w:val="22"/>
        </w:rPr>
        <w:t>.</w:t>
      </w:r>
      <w:r w:rsidR="007840D0">
        <w:rPr>
          <w:rFonts w:asciiTheme="minorHAnsi" w:eastAsiaTheme="minorHAnsi" w:hAnsiTheme="minorHAnsi" w:cstheme="minorHAnsi"/>
          <w:sz w:val="22"/>
          <w:szCs w:val="22"/>
          <w:lang w:eastAsia="en-US"/>
        </w:rPr>
        <w:t xml:space="preserve"> </w:t>
      </w:r>
      <w:r w:rsidR="006C37B0" w:rsidRPr="006C37B0">
        <w:rPr>
          <w:rFonts w:asciiTheme="minorHAnsi" w:eastAsiaTheme="minorHAnsi" w:hAnsiTheme="minorHAnsi" w:cstheme="minorHAnsi"/>
          <w:sz w:val="22"/>
          <w:szCs w:val="22"/>
          <w:lang w:eastAsia="en-US"/>
        </w:rPr>
        <w:t xml:space="preserve">In January 2023, subsidiaries </w:t>
      </w:r>
      <w:proofErr w:type="spellStart"/>
      <w:r w:rsidR="006C37B0" w:rsidRPr="006C37B0">
        <w:rPr>
          <w:rFonts w:asciiTheme="minorHAnsi" w:eastAsiaTheme="minorHAnsi" w:hAnsiTheme="minorHAnsi" w:cstheme="minorHAnsi"/>
          <w:sz w:val="22"/>
          <w:szCs w:val="22"/>
          <w:lang w:eastAsia="en-US"/>
        </w:rPr>
        <w:t>Forths</w:t>
      </w:r>
      <w:proofErr w:type="spellEnd"/>
      <w:r w:rsidR="000C69B0">
        <w:rPr>
          <w:rFonts w:asciiTheme="minorHAnsi" w:eastAsiaTheme="minorHAnsi" w:hAnsiTheme="minorHAnsi" w:cstheme="minorHAnsi"/>
          <w:sz w:val="22"/>
          <w:szCs w:val="22"/>
          <w:lang w:eastAsia="en-US"/>
        </w:rPr>
        <w:t xml:space="preserve"> Forensics </w:t>
      </w:r>
      <w:r w:rsidR="006C37B0" w:rsidRPr="006C37B0">
        <w:rPr>
          <w:rFonts w:asciiTheme="minorHAnsi" w:eastAsiaTheme="minorHAnsi" w:hAnsiTheme="minorHAnsi" w:cstheme="minorHAnsi"/>
          <w:sz w:val="22"/>
          <w:szCs w:val="22"/>
          <w:lang w:eastAsia="en-US"/>
        </w:rPr>
        <w:t>and Bidwell Henderson</w:t>
      </w:r>
      <w:r w:rsidR="000C69B0">
        <w:rPr>
          <w:rFonts w:asciiTheme="minorHAnsi" w:eastAsiaTheme="minorHAnsi" w:hAnsiTheme="minorHAnsi" w:cstheme="minorHAnsi"/>
          <w:sz w:val="22"/>
          <w:szCs w:val="22"/>
          <w:lang w:eastAsia="en-US"/>
        </w:rPr>
        <w:t xml:space="preserve"> Cost Consultants (BH) </w:t>
      </w:r>
      <w:r w:rsidR="006C37B0" w:rsidRPr="006C37B0">
        <w:rPr>
          <w:rFonts w:asciiTheme="minorHAnsi" w:eastAsiaTheme="minorHAnsi" w:hAnsiTheme="minorHAnsi" w:cstheme="minorHAnsi"/>
          <w:sz w:val="22"/>
          <w:szCs w:val="22"/>
          <w:lang w:eastAsia="en-US"/>
        </w:rPr>
        <w:t xml:space="preserve">both </w:t>
      </w:r>
      <w:r w:rsidR="002C1DFC">
        <w:rPr>
          <w:rFonts w:asciiTheme="minorHAnsi" w:eastAsiaTheme="minorHAnsi" w:hAnsiTheme="minorHAnsi" w:cstheme="minorHAnsi"/>
          <w:sz w:val="22"/>
          <w:szCs w:val="22"/>
          <w:lang w:eastAsia="en-US"/>
        </w:rPr>
        <w:t>delivered</w:t>
      </w:r>
      <w:r w:rsidR="000C69B0">
        <w:rPr>
          <w:rFonts w:asciiTheme="minorHAnsi" w:eastAsiaTheme="minorHAnsi" w:hAnsiTheme="minorHAnsi" w:cstheme="minorHAnsi"/>
          <w:sz w:val="22"/>
          <w:szCs w:val="22"/>
          <w:lang w:eastAsia="en-US"/>
        </w:rPr>
        <w:t xml:space="preserve"> record revenues and BH surpassed </w:t>
      </w:r>
      <w:r w:rsidR="002C1DFC">
        <w:rPr>
          <w:rFonts w:asciiTheme="minorHAnsi" w:eastAsiaTheme="minorHAnsi" w:hAnsiTheme="minorHAnsi" w:cstheme="minorHAnsi"/>
          <w:sz w:val="22"/>
          <w:szCs w:val="22"/>
          <w:lang w:eastAsia="en-US"/>
        </w:rPr>
        <w:t>its</w:t>
      </w:r>
      <w:r w:rsidR="000C69B0">
        <w:rPr>
          <w:rFonts w:asciiTheme="minorHAnsi" w:eastAsiaTheme="minorHAnsi" w:hAnsiTheme="minorHAnsi" w:cstheme="minorHAnsi"/>
          <w:sz w:val="22"/>
          <w:szCs w:val="22"/>
          <w:lang w:eastAsia="en-US"/>
        </w:rPr>
        <w:t xml:space="preserve"> previous highest recorded </w:t>
      </w:r>
      <w:r w:rsidR="002C1DFC">
        <w:rPr>
          <w:rFonts w:asciiTheme="minorHAnsi" w:eastAsiaTheme="minorHAnsi" w:hAnsiTheme="minorHAnsi" w:cstheme="minorHAnsi"/>
          <w:sz w:val="22"/>
          <w:szCs w:val="22"/>
          <w:lang w:eastAsia="en-US"/>
        </w:rPr>
        <w:t>number</w:t>
      </w:r>
      <w:r w:rsidR="000C69B0">
        <w:rPr>
          <w:rFonts w:asciiTheme="minorHAnsi" w:eastAsiaTheme="minorHAnsi" w:hAnsiTheme="minorHAnsi" w:cstheme="minorHAnsi"/>
          <w:sz w:val="22"/>
          <w:szCs w:val="22"/>
          <w:lang w:eastAsia="en-US"/>
        </w:rPr>
        <w:t xml:space="preserve"> of files received by </w:t>
      </w:r>
      <w:r w:rsidR="006C37B0" w:rsidRPr="006C37B0">
        <w:rPr>
          <w:rFonts w:asciiTheme="minorHAnsi" w:eastAsiaTheme="minorHAnsi" w:hAnsiTheme="minorHAnsi" w:cstheme="minorHAnsi"/>
          <w:sz w:val="22"/>
          <w:szCs w:val="22"/>
          <w:lang w:eastAsia="en-US"/>
        </w:rPr>
        <w:t>20%</w:t>
      </w:r>
      <w:r w:rsidR="002C1DFC">
        <w:rPr>
          <w:rFonts w:asciiTheme="minorHAnsi" w:eastAsiaTheme="minorHAnsi" w:hAnsiTheme="minorHAnsi" w:cstheme="minorHAnsi"/>
          <w:sz w:val="22"/>
          <w:szCs w:val="22"/>
          <w:lang w:eastAsia="en-US"/>
        </w:rPr>
        <w:t>.</w:t>
      </w:r>
      <w:r w:rsidR="007840D0">
        <w:rPr>
          <w:rFonts w:asciiTheme="minorHAnsi" w:eastAsiaTheme="minorHAnsi" w:hAnsiTheme="minorHAnsi" w:cstheme="minorHAnsi"/>
          <w:sz w:val="22"/>
          <w:szCs w:val="22"/>
          <w:lang w:eastAsia="en-US"/>
        </w:rPr>
        <w:t xml:space="preserve"> </w:t>
      </w:r>
      <w:r w:rsidR="002C1DFC">
        <w:rPr>
          <w:rFonts w:asciiTheme="minorHAnsi" w:eastAsiaTheme="minorHAnsi" w:hAnsiTheme="minorHAnsi" w:cstheme="minorHAnsi"/>
          <w:sz w:val="22"/>
          <w:szCs w:val="22"/>
          <w:lang w:eastAsia="en-US"/>
        </w:rPr>
        <w:t>D</w:t>
      </w:r>
      <w:r w:rsidR="007840D0">
        <w:rPr>
          <w:rFonts w:asciiTheme="minorHAnsi" w:eastAsiaTheme="minorHAnsi" w:hAnsiTheme="minorHAnsi" w:cstheme="minorHAnsi"/>
          <w:sz w:val="22"/>
          <w:szCs w:val="22"/>
          <w:lang w:eastAsia="en-US"/>
        </w:rPr>
        <w:t xml:space="preserve">uring the year </w:t>
      </w:r>
      <w:r w:rsidR="009D5410">
        <w:rPr>
          <w:rFonts w:asciiTheme="minorHAnsi" w:eastAsiaTheme="minorHAnsi" w:hAnsiTheme="minorHAnsi" w:cstheme="minorHAnsi"/>
          <w:sz w:val="22"/>
          <w:szCs w:val="22"/>
          <w:lang w:eastAsia="en-US"/>
        </w:rPr>
        <w:t>t</w:t>
      </w:r>
      <w:r w:rsidR="007840D0">
        <w:rPr>
          <w:rFonts w:asciiTheme="minorHAnsi" w:eastAsiaTheme="minorHAnsi" w:hAnsiTheme="minorHAnsi" w:cstheme="minorHAnsi"/>
          <w:sz w:val="22"/>
          <w:szCs w:val="22"/>
          <w:lang w:eastAsia="en-US"/>
        </w:rPr>
        <w:t>he Board</w:t>
      </w:r>
      <w:r w:rsidR="002C1DFC">
        <w:rPr>
          <w:rFonts w:asciiTheme="minorHAnsi" w:eastAsiaTheme="minorHAnsi" w:hAnsiTheme="minorHAnsi" w:cstheme="minorHAnsi"/>
          <w:sz w:val="22"/>
          <w:szCs w:val="22"/>
          <w:lang w:eastAsia="en-US"/>
        </w:rPr>
        <w:t xml:space="preserve"> also</w:t>
      </w:r>
      <w:r w:rsidR="007840D0">
        <w:rPr>
          <w:rFonts w:asciiTheme="minorHAnsi" w:eastAsiaTheme="minorHAnsi" w:hAnsiTheme="minorHAnsi" w:cstheme="minorHAnsi"/>
          <w:sz w:val="22"/>
          <w:szCs w:val="22"/>
          <w:lang w:eastAsia="en-US"/>
        </w:rPr>
        <w:t xml:space="preserve"> expects </w:t>
      </w:r>
      <w:r w:rsidR="009D5410">
        <w:rPr>
          <w:rFonts w:asciiTheme="minorHAnsi" w:eastAsiaTheme="minorHAnsi" w:hAnsiTheme="minorHAnsi" w:cstheme="minorHAnsi"/>
          <w:sz w:val="22"/>
          <w:szCs w:val="22"/>
          <w:lang w:eastAsia="en-US"/>
        </w:rPr>
        <w:t>Keystone</w:t>
      </w:r>
      <w:r w:rsidR="007840D0">
        <w:rPr>
          <w:rFonts w:asciiTheme="minorHAnsi" w:eastAsiaTheme="minorHAnsi" w:hAnsiTheme="minorHAnsi" w:cstheme="minorHAnsi"/>
          <w:sz w:val="22"/>
          <w:szCs w:val="22"/>
          <w:lang w:eastAsia="en-US"/>
        </w:rPr>
        <w:t xml:space="preserve"> Case </w:t>
      </w:r>
      <w:r w:rsidR="000C69B0">
        <w:rPr>
          <w:rFonts w:asciiTheme="minorHAnsi" w:eastAsiaTheme="minorHAnsi" w:hAnsiTheme="minorHAnsi" w:cstheme="minorHAnsi"/>
          <w:sz w:val="22"/>
          <w:szCs w:val="22"/>
          <w:lang w:eastAsia="en-US"/>
        </w:rPr>
        <w:t>M</w:t>
      </w:r>
      <w:r w:rsidR="007840D0">
        <w:rPr>
          <w:rFonts w:asciiTheme="minorHAnsi" w:eastAsiaTheme="minorHAnsi" w:hAnsiTheme="minorHAnsi" w:cstheme="minorHAnsi"/>
          <w:sz w:val="22"/>
          <w:szCs w:val="22"/>
          <w:lang w:eastAsia="en-US"/>
        </w:rPr>
        <w:t>anagement to start contributing</w:t>
      </w:r>
      <w:r w:rsidR="006C37B0" w:rsidRPr="006C37B0">
        <w:rPr>
          <w:rFonts w:asciiTheme="minorHAnsi" w:eastAsiaTheme="minorHAnsi" w:hAnsiTheme="minorHAnsi" w:cstheme="minorHAnsi"/>
          <w:sz w:val="22"/>
          <w:szCs w:val="22"/>
          <w:lang w:eastAsia="en-US"/>
        </w:rPr>
        <w:t xml:space="preserve">.  </w:t>
      </w:r>
      <w:r w:rsidR="00500E0F" w:rsidRPr="005D4DCA">
        <w:rPr>
          <w:rFonts w:asciiTheme="minorHAnsi" w:eastAsiaTheme="minorHAnsi" w:hAnsiTheme="minorHAnsi" w:cstheme="minorHAnsi"/>
          <w:sz w:val="22"/>
          <w:szCs w:val="22"/>
          <w:lang w:eastAsia="en-US"/>
        </w:rPr>
        <w:t xml:space="preserve">Expectations for the year to FY2023 </w:t>
      </w:r>
      <w:r w:rsidR="00E23ABB">
        <w:rPr>
          <w:rFonts w:asciiTheme="minorHAnsi" w:eastAsiaTheme="minorHAnsi" w:hAnsiTheme="minorHAnsi" w:cstheme="minorHAnsi"/>
          <w:sz w:val="22"/>
          <w:szCs w:val="22"/>
          <w:lang w:eastAsia="en-US"/>
        </w:rPr>
        <w:t xml:space="preserve">therefore </w:t>
      </w:r>
      <w:r w:rsidR="00500E0F" w:rsidRPr="005D4DCA">
        <w:rPr>
          <w:rFonts w:asciiTheme="minorHAnsi" w:eastAsiaTheme="minorHAnsi" w:hAnsiTheme="minorHAnsi" w:cstheme="minorHAnsi"/>
          <w:sz w:val="22"/>
          <w:szCs w:val="22"/>
          <w:lang w:eastAsia="en-US"/>
        </w:rPr>
        <w:t>remain unchanged</w:t>
      </w:r>
      <w:r w:rsidR="00A832CB">
        <w:rPr>
          <w:rFonts w:asciiTheme="minorHAnsi" w:eastAsiaTheme="minorHAnsi" w:hAnsiTheme="minorHAnsi" w:cstheme="minorHAnsi"/>
          <w:sz w:val="22"/>
          <w:szCs w:val="22"/>
          <w:lang w:eastAsia="en-US"/>
        </w:rPr>
        <w:t xml:space="preserve"> as a result to of the solid start to the financial year</w:t>
      </w:r>
      <w:r w:rsidR="00500E0F">
        <w:rPr>
          <w:rFonts w:asciiTheme="minorHAnsi" w:eastAsiaTheme="minorHAnsi" w:hAnsiTheme="minorHAnsi" w:cstheme="minorHAnsi"/>
          <w:sz w:val="22"/>
          <w:szCs w:val="22"/>
          <w:lang w:eastAsia="en-US"/>
        </w:rPr>
        <w:t>.</w:t>
      </w:r>
    </w:p>
    <w:p w14:paraId="7932FBAB" w14:textId="2597ED97" w:rsidR="008858F2" w:rsidRPr="006C37B0" w:rsidRDefault="000C69B0" w:rsidP="008858F2">
      <w:pPr>
        <w:jc w:val="both"/>
        <w:rPr>
          <w:rFonts w:cstheme="minorHAnsi"/>
        </w:rPr>
      </w:pPr>
      <w:r>
        <w:rPr>
          <w:rFonts w:cstheme="minorHAnsi"/>
        </w:rPr>
        <w:t xml:space="preserve">Where appropriate </w:t>
      </w:r>
      <w:r w:rsidR="005D4DCA">
        <w:rPr>
          <w:rFonts w:cstheme="minorHAnsi"/>
        </w:rPr>
        <w:t>t</w:t>
      </w:r>
      <w:r w:rsidR="008858F2" w:rsidRPr="006C37B0">
        <w:rPr>
          <w:rFonts w:cstheme="minorHAnsi"/>
        </w:rPr>
        <w:t xml:space="preserve">he Company will </w:t>
      </w:r>
      <w:r w:rsidR="005D4DCA">
        <w:rPr>
          <w:rFonts w:cstheme="minorHAnsi"/>
        </w:rPr>
        <w:t>endeavour</w:t>
      </w:r>
      <w:r w:rsidR="00822246" w:rsidRPr="006C37B0">
        <w:rPr>
          <w:rFonts w:cstheme="minorHAnsi"/>
        </w:rPr>
        <w:t xml:space="preserve"> to</w:t>
      </w:r>
      <w:r w:rsidR="008858F2" w:rsidRPr="006C37B0">
        <w:rPr>
          <w:rFonts w:cstheme="minorHAnsi"/>
        </w:rPr>
        <w:t xml:space="preserve"> migrate AUM onto the Ascencia platform to be managed internally in order to mitigate, as far as possible, the impact of any future abnormal market movements which Ascencia has demonstrably been able to do</w:t>
      </w:r>
      <w:r w:rsidR="00822246" w:rsidRPr="006C37B0">
        <w:rPr>
          <w:rFonts w:cstheme="minorHAnsi"/>
        </w:rPr>
        <w:t xml:space="preserve"> during the year</w:t>
      </w:r>
      <w:r w:rsidR="008858F2" w:rsidRPr="006C37B0">
        <w:rPr>
          <w:rFonts w:cstheme="minorHAnsi"/>
        </w:rPr>
        <w:t xml:space="preserve">. It will also look to drive further synergies from the acquisitions made and integrate them further into a unified platform and offering by the Group. Finally, the Company is planning some investment in data analytics in order to better capture </w:t>
      </w:r>
      <w:r w:rsidR="0052301C" w:rsidRPr="006C37B0">
        <w:rPr>
          <w:rFonts w:cstheme="minorHAnsi"/>
        </w:rPr>
        <w:t xml:space="preserve">and optimise </w:t>
      </w:r>
      <w:r w:rsidR="008858F2" w:rsidRPr="006C37B0">
        <w:rPr>
          <w:rFonts w:cstheme="minorHAnsi"/>
        </w:rPr>
        <w:t>business development opportunities across the platform.</w:t>
      </w:r>
    </w:p>
    <w:p w14:paraId="33EDD731" w14:textId="77777777" w:rsidR="00954ED2" w:rsidRPr="006C37B0" w:rsidRDefault="00954ED2" w:rsidP="00954ED2">
      <w:pPr>
        <w:pStyle w:val="bu"/>
        <w:spacing w:before="0" w:beforeAutospacing="0" w:after="270" w:afterAutospacing="0"/>
        <w:jc w:val="both"/>
        <w:rPr>
          <w:rFonts w:asciiTheme="minorHAnsi" w:hAnsiTheme="minorHAnsi" w:cstheme="minorHAnsi"/>
          <w:b/>
          <w:bCs/>
          <w:color w:val="212721"/>
          <w:sz w:val="22"/>
          <w:szCs w:val="22"/>
          <w:u w:val="single"/>
        </w:rPr>
      </w:pPr>
      <w:r w:rsidRPr="006C37B0">
        <w:rPr>
          <w:rFonts w:asciiTheme="minorHAnsi" w:hAnsiTheme="minorHAnsi" w:cstheme="minorHAnsi"/>
          <w:b/>
          <w:bCs/>
          <w:color w:val="212721"/>
          <w:sz w:val="22"/>
          <w:szCs w:val="22"/>
          <w:u w:val="single"/>
        </w:rPr>
        <w:t xml:space="preserve">Notice of </w:t>
      </w:r>
      <w:r w:rsidR="00822246" w:rsidRPr="006C37B0">
        <w:rPr>
          <w:rFonts w:asciiTheme="minorHAnsi" w:hAnsiTheme="minorHAnsi" w:cstheme="minorHAnsi"/>
          <w:b/>
          <w:bCs/>
          <w:color w:val="212721"/>
          <w:sz w:val="22"/>
          <w:szCs w:val="22"/>
          <w:u w:val="single"/>
        </w:rPr>
        <w:t>r</w:t>
      </w:r>
      <w:r w:rsidRPr="006C37B0">
        <w:rPr>
          <w:rFonts w:asciiTheme="minorHAnsi" w:hAnsiTheme="minorHAnsi" w:cstheme="minorHAnsi"/>
          <w:b/>
          <w:bCs/>
          <w:color w:val="212721"/>
          <w:sz w:val="22"/>
          <w:szCs w:val="22"/>
          <w:u w:val="single"/>
        </w:rPr>
        <w:t>esults</w:t>
      </w:r>
      <w:r w:rsidR="00822246" w:rsidRPr="006C37B0">
        <w:rPr>
          <w:rFonts w:asciiTheme="minorHAnsi" w:hAnsiTheme="minorHAnsi" w:cstheme="minorHAnsi"/>
          <w:b/>
          <w:bCs/>
          <w:color w:val="212721"/>
          <w:sz w:val="22"/>
          <w:szCs w:val="22"/>
          <w:u w:val="single"/>
        </w:rPr>
        <w:t xml:space="preserve"> and update on strategy </w:t>
      </w:r>
    </w:p>
    <w:p w14:paraId="4665473F" w14:textId="3744499E" w:rsidR="00DB07F0" w:rsidRPr="006C37B0" w:rsidRDefault="00954ED2" w:rsidP="00954ED2">
      <w:pPr>
        <w:pStyle w:val="bs"/>
        <w:spacing w:before="0" w:beforeAutospacing="0" w:after="270" w:afterAutospacing="0"/>
        <w:jc w:val="both"/>
        <w:rPr>
          <w:rStyle w:val="bm"/>
          <w:rFonts w:asciiTheme="minorHAnsi" w:hAnsiTheme="minorHAnsi" w:cstheme="minorHAnsi"/>
          <w:color w:val="212721"/>
          <w:sz w:val="22"/>
          <w:szCs w:val="22"/>
        </w:rPr>
      </w:pPr>
      <w:r w:rsidRPr="006C37B0">
        <w:rPr>
          <w:rStyle w:val="bm"/>
          <w:rFonts w:asciiTheme="minorHAnsi" w:hAnsiTheme="minorHAnsi" w:cstheme="minorHAnsi"/>
          <w:color w:val="212721"/>
          <w:sz w:val="22"/>
          <w:szCs w:val="22"/>
        </w:rPr>
        <w:t xml:space="preserve">A comprehensive update and review of the year will be provided with the Company's annual results, </w:t>
      </w:r>
      <w:r w:rsidR="008858F2" w:rsidRPr="006C37B0">
        <w:rPr>
          <w:rStyle w:val="bm"/>
          <w:rFonts w:asciiTheme="minorHAnsi" w:hAnsiTheme="minorHAnsi" w:cstheme="minorHAnsi"/>
          <w:color w:val="212721"/>
          <w:sz w:val="22"/>
          <w:szCs w:val="22"/>
        </w:rPr>
        <w:t xml:space="preserve">as well as the presentation of an ambitious </w:t>
      </w:r>
      <w:r w:rsidR="00B1594B">
        <w:rPr>
          <w:rStyle w:val="bm"/>
          <w:rFonts w:asciiTheme="minorHAnsi" w:hAnsiTheme="minorHAnsi" w:cstheme="minorHAnsi"/>
          <w:color w:val="212721"/>
          <w:sz w:val="22"/>
          <w:szCs w:val="22"/>
        </w:rPr>
        <w:t>growth</w:t>
      </w:r>
      <w:r w:rsidR="008858F2" w:rsidRPr="006C37B0">
        <w:rPr>
          <w:rStyle w:val="bm"/>
          <w:rFonts w:asciiTheme="minorHAnsi" w:hAnsiTheme="minorHAnsi" w:cstheme="minorHAnsi"/>
          <w:color w:val="212721"/>
          <w:sz w:val="22"/>
          <w:szCs w:val="22"/>
        </w:rPr>
        <w:t xml:space="preserve"> plan</w:t>
      </w:r>
      <w:r w:rsidR="00500E0F">
        <w:rPr>
          <w:rStyle w:val="bm"/>
          <w:rFonts w:asciiTheme="minorHAnsi" w:hAnsiTheme="minorHAnsi" w:cstheme="minorHAnsi"/>
          <w:color w:val="212721"/>
          <w:sz w:val="22"/>
          <w:szCs w:val="22"/>
        </w:rPr>
        <w:t>.</w:t>
      </w:r>
      <w:r w:rsidR="008858F2" w:rsidRPr="006C37B0">
        <w:rPr>
          <w:rStyle w:val="bm"/>
          <w:rFonts w:asciiTheme="minorHAnsi" w:hAnsiTheme="minorHAnsi" w:cstheme="minorHAnsi"/>
          <w:color w:val="212721"/>
          <w:sz w:val="22"/>
          <w:szCs w:val="22"/>
        </w:rPr>
        <w:t xml:space="preserve"> </w:t>
      </w:r>
    </w:p>
    <w:p w14:paraId="366B0A90" w14:textId="2045913C" w:rsidR="00954ED2" w:rsidRPr="006C37B0" w:rsidRDefault="008858F2" w:rsidP="00954ED2">
      <w:pPr>
        <w:pStyle w:val="bs"/>
        <w:spacing w:before="0" w:beforeAutospacing="0" w:after="270" w:afterAutospacing="0"/>
        <w:jc w:val="both"/>
        <w:rPr>
          <w:rFonts w:asciiTheme="minorHAnsi" w:hAnsiTheme="minorHAnsi" w:cstheme="minorHAnsi"/>
          <w:color w:val="212721"/>
          <w:sz w:val="22"/>
          <w:szCs w:val="22"/>
        </w:rPr>
      </w:pPr>
      <w:r w:rsidRPr="006C37B0">
        <w:rPr>
          <w:rStyle w:val="bm"/>
          <w:rFonts w:asciiTheme="minorHAnsi" w:hAnsiTheme="minorHAnsi" w:cstheme="minorHAnsi"/>
          <w:color w:val="212721"/>
          <w:sz w:val="22"/>
          <w:szCs w:val="22"/>
        </w:rPr>
        <w:t xml:space="preserve">Final results for the year ended 31 December 2022 </w:t>
      </w:r>
      <w:r w:rsidR="00954ED2" w:rsidRPr="006C37B0">
        <w:rPr>
          <w:rStyle w:val="bm"/>
          <w:rFonts w:asciiTheme="minorHAnsi" w:hAnsiTheme="minorHAnsi" w:cstheme="minorHAnsi"/>
          <w:color w:val="212721"/>
          <w:sz w:val="22"/>
          <w:szCs w:val="22"/>
        </w:rPr>
        <w:t xml:space="preserve">are expected to be announced on </w:t>
      </w:r>
      <w:r w:rsidR="005D4DCA">
        <w:rPr>
          <w:rStyle w:val="bm"/>
          <w:rFonts w:asciiTheme="minorHAnsi" w:hAnsiTheme="minorHAnsi" w:cstheme="minorHAnsi"/>
          <w:color w:val="212721"/>
          <w:sz w:val="22"/>
          <w:szCs w:val="22"/>
        </w:rPr>
        <w:t>24th</w:t>
      </w:r>
      <w:r w:rsidR="00954ED2" w:rsidRPr="006C37B0">
        <w:rPr>
          <w:rStyle w:val="bm"/>
          <w:rFonts w:asciiTheme="minorHAnsi" w:hAnsiTheme="minorHAnsi" w:cstheme="minorHAnsi"/>
          <w:color w:val="212721"/>
          <w:sz w:val="22"/>
          <w:szCs w:val="22"/>
        </w:rPr>
        <w:t xml:space="preserve"> April 2023. </w:t>
      </w:r>
    </w:p>
    <w:p w14:paraId="3E04CB3E" w14:textId="7E393191" w:rsidR="00B1594B" w:rsidRPr="00242F0A" w:rsidRDefault="00B1594B" w:rsidP="00242F0A">
      <w:pPr>
        <w:rPr>
          <w:i/>
          <w:iCs/>
          <w:color w:val="FF0000"/>
        </w:rPr>
      </w:pPr>
      <w:r w:rsidRPr="006C37B0">
        <w:rPr>
          <w:rFonts w:cstheme="minorHAnsi"/>
          <w:i/>
          <w:iCs/>
        </w:rPr>
        <w:t xml:space="preserve">* The financial </w:t>
      </w:r>
      <w:r w:rsidRPr="00694C82">
        <w:rPr>
          <w:rFonts w:cstheme="minorHAnsi"/>
          <w:i/>
          <w:iCs/>
        </w:rPr>
        <w:t>expectations noted above are preliminary, and subject to year-end financial close and audit review processes.</w:t>
      </w:r>
      <w:r w:rsidR="00694C82" w:rsidRPr="00694C82">
        <w:rPr>
          <w:rFonts w:cstheme="minorHAnsi"/>
          <w:i/>
          <w:iCs/>
        </w:rPr>
        <w:t xml:space="preserve"> </w:t>
      </w:r>
      <w:r w:rsidR="00694C82" w:rsidRPr="00242F0A">
        <w:rPr>
          <w:i/>
          <w:iCs/>
        </w:rPr>
        <w:t>Adj. EBITDA defined as before share based compensation, M&amp;A strategy and re-organisation costs.</w:t>
      </w:r>
    </w:p>
    <w:p w14:paraId="43810583" w14:textId="77777777" w:rsidR="00954ED2" w:rsidRPr="006C37B0" w:rsidRDefault="00954ED2" w:rsidP="00954ED2">
      <w:pPr>
        <w:jc w:val="both"/>
        <w:rPr>
          <w:rStyle w:val="bm"/>
          <w:rFonts w:cstheme="minorHAnsi"/>
          <w:color w:val="212721"/>
        </w:rPr>
      </w:pPr>
      <w:r w:rsidRPr="006C37B0">
        <w:rPr>
          <w:rStyle w:val="bm"/>
          <w:rFonts w:cstheme="minorHAnsi"/>
          <w:b/>
          <w:bCs/>
          <w:color w:val="212721"/>
        </w:rPr>
        <w:t>Richard Fraser, Chief Executive Officer of Frenkel Topping Group plc, said:</w:t>
      </w:r>
      <w:r w:rsidRPr="006C37B0">
        <w:rPr>
          <w:rFonts w:cstheme="minorHAnsi"/>
          <w:b/>
          <w:bCs/>
          <w:color w:val="212721"/>
        </w:rPr>
        <w:t> </w:t>
      </w:r>
      <w:r w:rsidRPr="006C37B0">
        <w:rPr>
          <w:rStyle w:val="bm"/>
          <w:rFonts w:cstheme="minorHAnsi"/>
          <w:color w:val="212721"/>
        </w:rPr>
        <w:t> </w:t>
      </w:r>
    </w:p>
    <w:p w14:paraId="47BD4C34" w14:textId="4DC7A184" w:rsidR="00954ED2" w:rsidRPr="006C37B0" w:rsidRDefault="00211DB5" w:rsidP="00954ED2">
      <w:pPr>
        <w:jc w:val="both"/>
        <w:rPr>
          <w:rStyle w:val="bm"/>
          <w:rFonts w:cstheme="minorHAnsi"/>
          <w:color w:val="212721"/>
        </w:rPr>
      </w:pPr>
      <w:r w:rsidRPr="006C37B0">
        <w:rPr>
          <w:rStyle w:val="bm"/>
          <w:rFonts w:cstheme="minorHAnsi"/>
          <w:color w:val="212721"/>
        </w:rPr>
        <w:t xml:space="preserve">“We are pleased to report on another year of delivery </w:t>
      </w:r>
      <w:r w:rsidR="00500E0F">
        <w:rPr>
          <w:rStyle w:val="bm"/>
          <w:rFonts w:cstheme="minorHAnsi"/>
          <w:color w:val="212721"/>
        </w:rPr>
        <w:t>despite</w:t>
      </w:r>
      <w:r w:rsidRPr="006C37B0">
        <w:rPr>
          <w:rStyle w:val="bm"/>
          <w:rFonts w:cstheme="minorHAnsi"/>
          <w:color w:val="212721"/>
        </w:rPr>
        <w:t xml:space="preserve"> challenging market conditions. A backdrop of market volatility served to highlight </w:t>
      </w:r>
      <w:r w:rsidRPr="006C37B0">
        <w:rPr>
          <w:rFonts w:cstheme="minorHAnsi"/>
        </w:rPr>
        <w:t>the strength of the DFM subsidiary in the Company’s portfolio</w:t>
      </w:r>
      <w:r w:rsidR="00E23ABB">
        <w:rPr>
          <w:rFonts w:cstheme="minorHAnsi"/>
        </w:rPr>
        <w:t xml:space="preserve"> as well as our strategy of diversifying revenue streams</w:t>
      </w:r>
      <w:r w:rsidRPr="006C37B0">
        <w:rPr>
          <w:rFonts w:cstheme="minorHAnsi"/>
        </w:rPr>
        <w:t>.</w:t>
      </w:r>
      <w:r w:rsidRPr="006C37B0">
        <w:rPr>
          <w:rStyle w:val="bm"/>
          <w:rFonts w:cstheme="minorHAnsi"/>
          <w:color w:val="212721"/>
        </w:rPr>
        <w:t xml:space="preserve"> We have executed the buy and build strategy outlined ahead of our capital raise and we are in a strong position to accelerate growth through the group in the coming years</w:t>
      </w:r>
      <w:r w:rsidR="00500E0F">
        <w:rPr>
          <w:rStyle w:val="bm"/>
          <w:rFonts w:cstheme="minorHAnsi"/>
          <w:color w:val="212721"/>
        </w:rPr>
        <w:t xml:space="preserve"> and to capitalise on a significant opportunity</w:t>
      </w:r>
      <w:r w:rsidR="00E23ABB">
        <w:rPr>
          <w:rStyle w:val="bm"/>
          <w:rFonts w:cstheme="minorHAnsi"/>
          <w:color w:val="212721"/>
        </w:rPr>
        <w:t xml:space="preserve"> in the personal </w:t>
      </w:r>
      <w:r w:rsidR="00E23ABB">
        <w:rPr>
          <w:rStyle w:val="bm"/>
          <w:rFonts w:cstheme="minorHAnsi"/>
          <w:color w:val="212721"/>
        </w:rPr>
        <w:lastRenderedPageBreak/>
        <w:t>injury and clinical negligence space</w:t>
      </w:r>
      <w:r w:rsidRPr="006C37B0">
        <w:rPr>
          <w:rStyle w:val="bm"/>
          <w:rFonts w:cstheme="minorHAnsi"/>
          <w:color w:val="212721"/>
        </w:rPr>
        <w:t>.</w:t>
      </w:r>
      <w:r w:rsidR="00E23ABB">
        <w:rPr>
          <w:rStyle w:val="bm"/>
          <w:rFonts w:cstheme="minorHAnsi"/>
          <w:color w:val="212721"/>
        </w:rPr>
        <w:t xml:space="preserve"> I am incredibly proud of the teams efforts and look forward to updating shareholders on progress at the time of our results in April</w:t>
      </w:r>
      <w:r w:rsidRPr="006C37B0">
        <w:rPr>
          <w:rStyle w:val="bm"/>
          <w:rFonts w:cstheme="minorHAnsi"/>
          <w:color w:val="212721"/>
        </w:rPr>
        <w:t>”</w:t>
      </w:r>
    </w:p>
    <w:p w14:paraId="4C218792" w14:textId="77777777" w:rsidR="00101A7C" w:rsidRPr="006C37B0" w:rsidRDefault="00101A7C" w:rsidP="00954ED2">
      <w:pPr>
        <w:spacing w:after="270" w:line="240" w:lineRule="auto"/>
        <w:rPr>
          <w:rFonts w:eastAsia="Times New Roman" w:cstheme="minorHAnsi"/>
          <w:b/>
          <w:bCs/>
          <w:color w:val="212721"/>
          <w:lang w:eastAsia="en-GB"/>
        </w:rPr>
      </w:pPr>
    </w:p>
    <w:p w14:paraId="3D5AB924" w14:textId="77777777" w:rsidR="00954ED2" w:rsidRPr="006C37B0" w:rsidRDefault="00954ED2" w:rsidP="00954ED2">
      <w:pPr>
        <w:spacing w:after="270" w:line="240" w:lineRule="auto"/>
        <w:rPr>
          <w:rFonts w:eastAsia="Times New Roman" w:cstheme="minorHAnsi"/>
          <w:color w:val="212721"/>
          <w:lang w:eastAsia="en-GB"/>
        </w:rPr>
      </w:pPr>
      <w:r w:rsidRPr="006C37B0">
        <w:rPr>
          <w:rFonts w:eastAsia="Times New Roman" w:cstheme="minorHAnsi"/>
          <w:b/>
          <w:bCs/>
          <w:color w:val="212721"/>
          <w:lang w:eastAsia="en-GB"/>
        </w:rPr>
        <w:t>For further information: </w:t>
      </w:r>
      <w:r w:rsidRPr="006C37B0">
        <w:rPr>
          <w:rFonts w:eastAsia="Times New Roman" w:cstheme="minorHAnsi"/>
          <w:color w:val="212721"/>
          <w:lang w:eastAsia="en-GB"/>
        </w:rPr>
        <w:t> </w:t>
      </w:r>
      <w:r w:rsidRPr="006C37B0">
        <w:rPr>
          <w:rFonts w:eastAsia="Times New Roman" w:cstheme="minorHAnsi"/>
          <w:b/>
          <w:bCs/>
          <w:color w:val="212721"/>
          <w:lang w:eastAsia="en-GB"/>
        </w:rPr>
        <w:t> </w:t>
      </w:r>
      <w:r w:rsidRPr="006C37B0">
        <w:rPr>
          <w:rFonts w:eastAsia="Times New Roman" w:cstheme="minorHAnsi"/>
          <w:color w:val="212721"/>
          <w:lang w:eastAsia="en-GB"/>
        </w:rPr>
        <w:t> </w:t>
      </w:r>
      <w:r w:rsidRPr="006C37B0">
        <w:rPr>
          <w:rFonts w:eastAsia="Times New Roman" w:cstheme="minorHAnsi"/>
          <w:color w:val="212721"/>
          <w:shd w:val="clear" w:color="auto" w:fill="FEFEFE"/>
          <w:lang w:eastAsia="en-GB"/>
        </w:rPr>
        <w:t> </w:t>
      </w:r>
    </w:p>
    <w:tbl>
      <w:tblPr>
        <w:tblW w:w="9960" w:type="dxa"/>
        <w:tblInd w:w="-123" w:type="dxa"/>
        <w:tblCellMar>
          <w:left w:w="0" w:type="dxa"/>
          <w:right w:w="0" w:type="dxa"/>
        </w:tblCellMar>
        <w:tblLook w:val="04A0" w:firstRow="1" w:lastRow="0" w:firstColumn="1" w:lastColumn="0" w:noHBand="0" w:noVBand="1"/>
      </w:tblPr>
      <w:tblGrid>
        <w:gridCol w:w="6007"/>
        <w:gridCol w:w="3953"/>
      </w:tblGrid>
      <w:tr w:rsidR="00954ED2" w:rsidRPr="006C37B0" w14:paraId="67509E86" w14:textId="77777777" w:rsidTr="00954ED2">
        <w:trPr>
          <w:trHeight w:val="228"/>
        </w:trPr>
        <w:tc>
          <w:tcPr>
            <w:tcW w:w="5722" w:type="dxa"/>
            <w:tcMar>
              <w:top w:w="10" w:type="dxa"/>
              <w:left w:w="118" w:type="dxa"/>
              <w:bottom w:w="10" w:type="dxa"/>
              <w:right w:w="118" w:type="dxa"/>
            </w:tcMar>
            <w:hideMark/>
          </w:tcPr>
          <w:p w14:paraId="5C7D7065" w14:textId="77777777" w:rsidR="00954ED2" w:rsidRPr="006C37B0" w:rsidRDefault="00954ED2" w:rsidP="00954ED2">
            <w:pPr>
              <w:spacing w:after="270" w:line="240" w:lineRule="auto"/>
              <w:jc w:val="both"/>
              <w:rPr>
                <w:rFonts w:eastAsia="Times New Roman" w:cstheme="minorHAnsi"/>
                <w:color w:val="212721"/>
                <w:lang w:eastAsia="en-GB"/>
              </w:rPr>
            </w:pPr>
            <w:r w:rsidRPr="006C37B0">
              <w:rPr>
                <w:rFonts w:eastAsia="Times New Roman" w:cstheme="minorHAnsi"/>
                <w:b/>
                <w:bCs/>
                <w:color w:val="000000"/>
                <w:lang w:eastAsia="en-GB"/>
              </w:rPr>
              <w:t>Frenkel Topping Group plc</w:t>
            </w:r>
          </w:p>
        </w:tc>
        <w:tc>
          <w:tcPr>
            <w:tcW w:w="3766" w:type="dxa"/>
            <w:tcMar>
              <w:top w:w="10" w:type="dxa"/>
              <w:left w:w="118" w:type="dxa"/>
              <w:bottom w:w="10" w:type="dxa"/>
              <w:right w:w="118" w:type="dxa"/>
            </w:tcMar>
            <w:hideMark/>
          </w:tcPr>
          <w:p w14:paraId="534DB61F" w14:textId="77777777" w:rsidR="00954ED2" w:rsidRPr="006C37B0" w:rsidRDefault="00F852D9" w:rsidP="00954ED2">
            <w:pPr>
              <w:spacing w:after="270" w:line="240" w:lineRule="auto"/>
              <w:jc w:val="both"/>
              <w:rPr>
                <w:rFonts w:eastAsia="Times New Roman" w:cstheme="minorHAnsi"/>
                <w:color w:val="212721"/>
                <w:lang w:eastAsia="en-GB"/>
              </w:rPr>
            </w:pPr>
            <w:hyperlink r:id="rId8" w:history="1">
              <w:r w:rsidR="00954ED2" w:rsidRPr="006C37B0">
                <w:rPr>
                  <w:rFonts w:eastAsia="Times New Roman" w:cstheme="minorHAnsi"/>
                  <w:color w:val="212721"/>
                  <w:u w:val="single"/>
                  <w:lang w:eastAsia="en-GB"/>
                </w:rPr>
                <w:t>www.frenkeltoppinggroup.co.uk</w:t>
              </w:r>
            </w:hyperlink>
          </w:p>
        </w:tc>
      </w:tr>
      <w:tr w:rsidR="00954ED2" w:rsidRPr="006C37B0" w14:paraId="489490F6" w14:textId="77777777" w:rsidTr="00954ED2">
        <w:trPr>
          <w:trHeight w:val="228"/>
        </w:trPr>
        <w:tc>
          <w:tcPr>
            <w:tcW w:w="5722" w:type="dxa"/>
            <w:tcMar>
              <w:top w:w="10" w:type="dxa"/>
              <w:left w:w="118" w:type="dxa"/>
              <w:bottom w:w="10" w:type="dxa"/>
              <w:right w:w="118" w:type="dxa"/>
            </w:tcMar>
            <w:hideMark/>
          </w:tcPr>
          <w:p w14:paraId="1ADE5DAA" w14:textId="77777777" w:rsidR="00954ED2" w:rsidRPr="006C37B0" w:rsidRDefault="00954ED2" w:rsidP="00954ED2">
            <w:pPr>
              <w:spacing w:after="270" w:line="240" w:lineRule="auto"/>
              <w:jc w:val="both"/>
              <w:rPr>
                <w:rFonts w:eastAsia="Times New Roman" w:cstheme="minorHAnsi"/>
                <w:color w:val="212721"/>
                <w:lang w:eastAsia="en-GB"/>
              </w:rPr>
            </w:pPr>
            <w:r w:rsidRPr="006C37B0">
              <w:rPr>
                <w:rFonts w:eastAsia="Times New Roman" w:cstheme="minorHAnsi"/>
                <w:color w:val="000000"/>
                <w:lang w:eastAsia="en-GB"/>
              </w:rPr>
              <w:t>Richard Fraser, Chief Executive Officer</w:t>
            </w:r>
          </w:p>
        </w:tc>
        <w:tc>
          <w:tcPr>
            <w:tcW w:w="3766" w:type="dxa"/>
            <w:tcMar>
              <w:top w:w="10" w:type="dxa"/>
              <w:left w:w="118" w:type="dxa"/>
              <w:bottom w:w="10" w:type="dxa"/>
              <w:right w:w="118" w:type="dxa"/>
            </w:tcMar>
            <w:hideMark/>
          </w:tcPr>
          <w:p w14:paraId="5FBBF435" w14:textId="77777777" w:rsidR="00954ED2" w:rsidRPr="006C37B0" w:rsidRDefault="00954ED2" w:rsidP="00954ED2">
            <w:pPr>
              <w:spacing w:after="270" w:line="240" w:lineRule="auto"/>
              <w:jc w:val="both"/>
              <w:rPr>
                <w:rFonts w:eastAsia="Times New Roman" w:cstheme="minorHAnsi"/>
                <w:color w:val="212721"/>
                <w:lang w:eastAsia="en-GB"/>
              </w:rPr>
            </w:pPr>
            <w:r w:rsidRPr="006C37B0">
              <w:rPr>
                <w:rFonts w:eastAsia="Times New Roman" w:cstheme="minorHAnsi"/>
                <w:color w:val="000000"/>
                <w:lang w:eastAsia="en-GB"/>
              </w:rPr>
              <w:t>Tel: 0161 886 8000</w:t>
            </w:r>
          </w:p>
        </w:tc>
      </w:tr>
      <w:tr w:rsidR="00954ED2" w:rsidRPr="006C37B0" w14:paraId="3B63C2B8" w14:textId="77777777" w:rsidTr="00954ED2">
        <w:trPr>
          <w:trHeight w:val="168"/>
        </w:trPr>
        <w:tc>
          <w:tcPr>
            <w:tcW w:w="5722" w:type="dxa"/>
            <w:tcMar>
              <w:top w:w="10" w:type="dxa"/>
              <w:left w:w="118" w:type="dxa"/>
              <w:bottom w:w="10" w:type="dxa"/>
              <w:right w:w="118" w:type="dxa"/>
            </w:tcMar>
            <w:hideMark/>
          </w:tcPr>
          <w:p w14:paraId="068A02F0" w14:textId="77777777" w:rsidR="00954ED2" w:rsidRPr="006C37B0" w:rsidRDefault="00954ED2" w:rsidP="00954ED2">
            <w:pPr>
              <w:spacing w:after="270" w:line="240" w:lineRule="auto"/>
              <w:jc w:val="both"/>
              <w:rPr>
                <w:rFonts w:eastAsia="Times New Roman" w:cstheme="minorHAnsi"/>
                <w:color w:val="212721"/>
                <w:lang w:eastAsia="en-GB"/>
              </w:rPr>
            </w:pPr>
          </w:p>
        </w:tc>
        <w:tc>
          <w:tcPr>
            <w:tcW w:w="3766" w:type="dxa"/>
            <w:tcMar>
              <w:top w:w="10" w:type="dxa"/>
              <w:left w:w="118" w:type="dxa"/>
              <w:bottom w:w="10" w:type="dxa"/>
              <w:right w:w="118" w:type="dxa"/>
            </w:tcMar>
            <w:hideMark/>
          </w:tcPr>
          <w:p w14:paraId="779F754B" w14:textId="77777777" w:rsidR="00954ED2" w:rsidRPr="006C37B0" w:rsidRDefault="00954ED2" w:rsidP="00954ED2">
            <w:pPr>
              <w:spacing w:after="270" w:line="240" w:lineRule="auto"/>
              <w:jc w:val="both"/>
              <w:rPr>
                <w:rFonts w:eastAsia="Times New Roman" w:cstheme="minorHAnsi"/>
                <w:color w:val="212721"/>
                <w:lang w:eastAsia="en-GB"/>
              </w:rPr>
            </w:pPr>
          </w:p>
        </w:tc>
      </w:tr>
      <w:tr w:rsidR="00954ED2" w:rsidRPr="006C37B0" w14:paraId="04B0A78F" w14:textId="77777777" w:rsidTr="00954ED2">
        <w:trPr>
          <w:trHeight w:val="228"/>
        </w:trPr>
        <w:tc>
          <w:tcPr>
            <w:tcW w:w="5722" w:type="dxa"/>
            <w:tcMar>
              <w:top w:w="10" w:type="dxa"/>
              <w:left w:w="118" w:type="dxa"/>
              <w:bottom w:w="10" w:type="dxa"/>
              <w:right w:w="118" w:type="dxa"/>
            </w:tcMar>
            <w:hideMark/>
          </w:tcPr>
          <w:p w14:paraId="7D31EC13" w14:textId="77777777" w:rsidR="00954ED2" w:rsidRPr="006C37B0" w:rsidRDefault="00954ED2" w:rsidP="00954ED2">
            <w:pPr>
              <w:spacing w:after="270" w:line="240" w:lineRule="auto"/>
              <w:jc w:val="both"/>
              <w:rPr>
                <w:rFonts w:eastAsia="Times New Roman" w:cstheme="minorHAnsi"/>
                <w:color w:val="212721"/>
                <w:lang w:eastAsia="en-GB"/>
              </w:rPr>
            </w:pPr>
            <w:r w:rsidRPr="006C37B0">
              <w:rPr>
                <w:rFonts w:eastAsia="Times New Roman" w:cstheme="minorHAnsi"/>
                <w:b/>
                <w:bCs/>
                <w:color w:val="000000"/>
                <w:lang w:eastAsia="en-GB"/>
              </w:rPr>
              <w:t>finnCap Ltd (Nominated Advisor &amp; Broker)</w:t>
            </w:r>
          </w:p>
        </w:tc>
        <w:tc>
          <w:tcPr>
            <w:tcW w:w="3766" w:type="dxa"/>
            <w:tcMar>
              <w:top w:w="10" w:type="dxa"/>
              <w:left w:w="118" w:type="dxa"/>
              <w:bottom w:w="10" w:type="dxa"/>
              <w:right w:w="118" w:type="dxa"/>
            </w:tcMar>
            <w:hideMark/>
          </w:tcPr>
          <w:p w14:paraId="7F3A8FEE" w14:textId="77777777" w:rsidR="00954ED2" w:rsidRPr="006C37B0" w:rsidRDefault="00954ED2" w:rsidP="00954ED2">
            <w:pPr>
              <w:spacing w:after="270" w:line="240" w:lineRule="auto"/>
              <w:jc w:val="both"/>
              <w:rPr>
                <w:rFonts w:eastAsia="Times New Roman" w:cstheme="minorHAnsi"/>
                <w:color w:val="212721"/>
                <w:lang w:eastAsia="en-GB"/>
              </w:rPr>
            </w:pPr>
            <w:r w:rsidRPr="006C37B0">
              <w:rPr>
                <w:rFonts w:eastAsia="Times New Roman" w:cstheme="minorHAnsi"/>
                <w:color w:val="000000"/>
                <w:lang w:eastAsia="en-GB"/>
              </w:rPr>
              <w:t>Tel: 020 7220 0500</w:t>
            </w:r>
          </w:p>
        </w:tc>
      </w:tr>
      <w:tr w:rsidR="00954ED2" w:rsidRPr="006C37B0" w14:paraId="6C6FC965" w14:textId="77777777" w:rsidTr="00954ED2">
        <w:trPr>
          <w:trHeight w:val="673"/>
        </w:trPr>
        <w:tc>
          <w:tcPr>
            <w:tcW w:w="5722" w:type="dxa"/>
            <w:tcMar>
              <w:top w:w="10" w:type="dxa"/>
              <w:left w:w="118" w:type="dxa"/>
              <w:bottom w:w="10" w:type="dxa"/>
              <w:right w:w="118" w:type="dxa"/>
            </w:tcMar>
            <w:hideMark/>
          </w:tcPr>
          <w:p w14:paraId="0818C370" w14:textId="77777777" w:rsidR="00954ED2" w:rsidRPr="006C37B0" w:rsidRDefault="00954ED2" w:rsidP="00954ED2">
            <w:pPr>
              <w:spacing w:after="270" w:line="240" w:lineRule="auto"/>
              <w:rPr>
                <w:rFonts w:eastAsia="Times New Roman" w:cstheme="minorHAnsi"/>
                <w:color w:val="212721"/>
                <w:lang w:eastAsia="en-GB"/>
              </w:rPr>
            </w:pPr>
            <w:r w:rsidRPr="006C37B0">
              <w:rPr>
                <w:rFonts w:eastAsia="Times New Roman" w:cstheme="minorHAnsi"/>
                <w:color w:val="000000"/>
                <w:lang w:eastAsia="en-GB"/>
              </w:rPr>
              <w:t>Carl Holmes/Abigail Kelly/Milesh Hindocha (Corporate Finance)</w:t>
            </w:r>
          </w:p>
          <w:p w14:paraId="390E52CA" w14:textId="77777777" w:rsidR="00954ED2" w:rsidRPr="006C37B0" w:rsidRDefault="00954ED2" w:rsidP="00954ED2">
            <w:pPr>
              <w:spacing w:after="270" w:line="240" w:lineRule="auto"/>
              <w:rPr>
                <w:rFonts w:eastAsia="Times New Roman" w:cstheme="minorHAnsi"/>
                <w:color w:val="212721"/>
                <w:lang w:eastAsia="en-GB"/>
              </w:rPr>
            </w:pPr>
            <w:r w:rsidRPr="006C37B0">
              <w:rPr>
                <w:rFonts w:eastAsia="Times New Roman" w:cstheme="minorHAnsi"/>
                <w:color w:val="000000"/>
                <w:lang w:eastAsia="en-GB"/>
              </w:rPr>
              <w:t>Tim Redfern / Charlotte Sutcliffe (ECM)</w:t>
            </w:r>
          </w:p>
        </w:tc>
        <w:tc>
          <w:tcPr>
            <w:tcW w:w="0" w:type="auto"/>
            <w:vAlign w:val="center"/>
            <w:hideMark/>
          </w:tcPr>
          <w:p w14:paraId="758AE493" w14:textId="77777777" w:rsidR="00954ED2" w:rsidRPr="006C37B0" w:rsidRDefault="00954ED2" w:rsidP="00954ED2">
            <w:pPr>
              <w:spacing w:after="270" w:line="240" w:lineRule="auto"/>
              <w:rPr>
                <w:rFonts w:eastAsia="Times New Roman" w:cstheme="minorHAnsi"/>
                <w:color w:val="212721"/>
                <w:lang w:eastAsia="en-GB"/>
              </w:rPr>
            </w:pPr>
          </w:p>
        </w:tc>
      </w:tr>
    </w:tbl>
    <w:p w14:paraId="178E1A69" w14:textId="77777777" w:rsidR="00954ED2" w:rsidRPr="006C37B0" w:rsidRDefault="00954ED2" w:rsidP="00954ED2">
      <w:pPr>
        <w:spacing w:after="270" w:line="240" w:lineRule="auto"/>
        <w:jc w:val="both"/>
        <w:rPr>
          <w:rFonts w:eastAsia="Times New Roman" w:cstheme="minorHAnsi"/>
          <w:color w:val="212721"/>
          <w:lang w:eastAsia="en-GB"/>
        </w:rPr>
      </w:pPr>
      <w:r w:rsidRPr="006C37B0">
        <w:rPr>
          <w:rFonts w:eastAsia="Times New Roman" w:cstheme="minorHAnsi"/>
          <w:b/>
          <w:bCs/>
          <w:color w:val="212721"/>
          <w:lang w:eastAsia="en-GB"/>
        </w:rPr>
        <w:t>About Frenkel Topping Group</w:t>
      </w:r>
    </w:p>
    <w:p w14:paraId="4197E538" w14:textId="77777777" w:rsidR="00954ED2" w:rsidRPr="006C37B0" w:rsidRDefault="00954ED2" w:rsidP="00954ED2">
      <w:pPr>
        <w:spacing w:after="270" w:line="240" w:lineRule="auto"/>
        <w:jc w:val="both"/>
        <w:rPr>
          <w:rFonts w:eastAsia="Times New Roman" w:cstheme="minorHAnsi"/>
          <w:color w:val="212721"/>
          <w:lang w:eastAsia="en-GB"/>
        </w:rPr>
      </w:pPr>
      <w:r w:rsidRPr="006C37B0">
        <w:rPr>
          <w:rFonts w:eastAsia="Times New Roman" w:cstheme="minorHAnsi"/>
          <w:color w:val="212721"/>
          <w:lang w:eastAsia="en-GB"/>
        </w:rPr>
        <w:t>The Frenkel Topping Group of companies specialises in providing financial advice and asset protection services to clients at times of financial vulnerability, with particular expertise in the field of personal injury (PI) and clinical negligence (CN).</w:t>
      </w:r>
    </w:p>
    <w:p w14:paraId="7B415C39" w14:textId="77777777" w:rsidR="00954ED2" w:rsidRPr="006C37B0" w:rsidRDefault="00954ED2" w:rsidP="00954ED2">
      <w:pPr>
        <w:spacing w:after="270" w:line="240" w:lineRule="auto"/>
        <w:jc w:val="both"/>
        <w:rPr>
          <w:rFonts w:eastAsia="Times New Roman" w:cstheme="minorHAnsi"/>
          <w:color w:val="212721"/>
          <w:lang w:eastAsia="en-GB"/>
        </w:rPr>
      </w:pPr>
      <w:r w:rsidRPr="006C37B0">
        <w:rPr>
          <w:rFonts w:eastAsia="Times New Roman" w:cstheme="minorHAnsi"/>
          <w:color w:val="212721"/>
          <w:lang w:eastAsia="en-GB"/>
        </w:rPr>
        <w:t>For more than 30 years the Group has worked with legal professionals and injured clients themselves to provide pre-settlement, at-</w:t>
      </w:r>
      <w:proofErr w:type="gramStart"/>
      <w:r w:rsidRPr="006C37B0">
        <w:rPr>
          <w:rFonts w:eastAsia="Times New Roman" w:cstheme="minorHAnsi"/>
          <w:color w:val="212721"/>
          <w:lang w:eastAsia="en-GB"/>
        </w:rPr>
        <w:t>settlement</w:t>
      </w:r>
      <w:proofErr w:type="gramEnd"/>
      <w:r w:rsidRPr="006C37B0">
        <w:rPr>
          <w:rFonts w:eastAsia="Times New Roman" w:cstheme="minorHAnsi"/>
          <w:color w:val="212721"/>
          <w:lang w:eastAsia="en-GB"/>
        </w:rPr>
        <w:t xml:space="preserve"> and post-settlement services to help achieve the best long-term outcomes for clients after injury. It boasts a client retention rate of 99%.</w:t>
      </w:r>
    </w:p>
    <w:p w14:paraId="157BF078" w14:textId="77777777" w:rsidR="00954ED2" w:rsidRPr="006C37B0" w:rsidRDefault="00954ED2" w:rsidP="00954ED2">
      <w:pPr>
        <w:spacing w:after="270" w:line="240" w:lineRule="auto"/>
        <w:jc w:val="both"/>
        <w:rPr>
          <w:rFonts w:eastAsia="Times New Roman" w:cstheme="minorHAnsi"/>
          <w:color w:val="212721"/>
          <w:lang w:eastAsia="en-GB"/>
        </w:rPr>
      </w:pPr>
      <w:r w:rsidRPr="006C37B0">
        <w:rPr>
          <w:rFonts w:eastAsia="Times New Roman" w:cstheme="minorHAnsi"/>
          <w:color w:val="212721"/>
          <w:lang w:eastAsia="en-GB"/>
        </w:rPr>
        <w:t xml:space="preserve">Frenkel Topping Group is focused on consolidating the fragmented PI and CN space </w:t>
      </w:r>
      <w:proofErr w:type="gramStart"/>
      <w:r w:rsidRPr="006C37B0">
        <w:rPr>
          <w:rFonts w:eastAsia="Times New Roman" w:cstheme="minorHAnsi"/>
          <w:color w:val="212721"/>
          <w:lang w:eastAsia="en-GB"/>
        </w:rPr>
        <w:t>in order to</w:t>
      </w:r>
      <w:proofErr w:type="gramEnd"/>
      <w:r w:rsidRPr="006C37B0">
        <w:rPr>
          <w:rFonts w:eastAsia="Times New Roman" w:cstheme="minorHAnsi"/>
          <w:color w:val="212721"/>
          <w:lang w:eastAsia="en-GB"/>
        </w:rPr>
        <w:t xml:space="preserve"> provide the most comprehensive suite of services to clients and deliver a best-in-class service offering from immediately after injury or illness and for the rest of their lives.</w:t>
      </w:r>
    </w:p>
    <w:p w14:paraId="4EC4E583" w14:textId="77777777" w:rsidR="00954ED2" w:rsidRPr="006C37B0" w:rsidRDefault="00954ED2" w:rsidP="00954ED2">
      <w:pPr>
        <w:spacing w:after="270" w:line="240" w:lineRule="auto"/>
        <w:jc w:val="both"/>
        <w:rPr>
          <w:rFonts w:eastAsia="Times New Roman" w:cstheme="minorHAnsi"/>
          <w:color w:val="212721"/>
          <w:lang w:eastAsia="en-GB"/>
        </w:rPr>
      </w:pPr>
      <w:r w:rsidRPr="006C37B0">
        <w:rPr>
          <w:rFonts w:eastAsia="Times New Roman" w:cstheme="minorHAnsi"/>
          <w:color w:val="212721"/>
          <w:lang w:eastAsia="en-GB"/>
        </w:rPr>
        <w:t>The group's services include the Major Trauma Signposting Partnership service inside NHS Major Trauma Centres, expert witness, costs, tax and forensic accountancy, independent financial advice, investment management, and care and case management.</w:t>
      </w:r>
    </w:p>
    <w:p w14:paraId="72A5BC16" w14:textId="77777777" w:rsidR="00954ED2" w:rsidRPr="006C37B0" w:rsidRDefault="00954ED2" w:rsidP="00954ED2">
      <w:pPr>
        <w:spacing w:after="270" w:line="240" w:lineRule="auto"/>
        <w:jc w:val="both"/>
        <w:rPr>
          <w:rFonts w:eastAsia="Times New Roman" w:cstheme="minorHAnsi"/>
          <w:color w:val="212721"/>
          <w:lang w:eastAsia="en-GB"/>
        </w:rPr>
      </w:pPr>
      <w:r w:rsidRPr="006C37B0">
        <w:rPr>
          <w:rFonts w:eastAsia="Times New Roman" w:cstheme="minorHAnsi"/>
          <w:color w:val="212721"/>
          <w:lang w:eastAsia="en-GB"/>
        </w:rPr>
        <w:t xml:space="preserve">The Group's discretionary fund manager, Ascencia, manages financial portfolios for clients in unique circumstances, often who have received a financial settlement after litigation. In recent years Ascencia has diversified its portfolios to include a Sharia-law-compliant portfolio and </w:t>
      </w:r>
      <w:proofErr w:type="gramStart"/>
      <w:r w:rsidRPr="006C37B0">
        <w:rPr>
          <w:rFonts w:eastAsia="Times New Roman" w:cstheme="minorHAnsi"/>
          <w:color w:val="212721"/>
          <w:lang w:eastAsia="en-GB"/>
        </w:rPr>
        <w:t>a number of</w:t>
      </w:r>
      <w:proofErr w:type="gramEnd"/>
      <w:r w:rsidRPr="006C37B0">
        <w:rPr>
          <w:rFonts w:eastAsia="Times New Roman" w:cstheme="minorHAnsi"/>
          <w:color w:val="212721"/>
          <w:lang w:eastAsia="en-GB"/>
        </w:rPr>
        <w:t xml:space="preserve"> ESG portfolios in response to increased interest in socially responsible investing (SRI).</w:t>
      </w:r>
    </w:p>
    <w:p w14:paraId="5B2D8E9A" w14:textId="77777777" w:rsidR="00954ED2" w:rsidRPr="006C37B0" w:rsidRDefault="00954ED2" w:rsidP="00954ED2">
      <w:pPr>
        <w:spacing w:after="270" w:line="240" w:lineRule="auto"/>
        <w:jc w:val="both"/>
        <w:rPr>
          <w:rFonts w:eastAsia="Times New Roman" w:cstheme="minorHAnsi"/>
          <w:color w:val="212721"/>
          <w:lang w:eastAsia="en-GB"/>
        </w:rPr>
      </w:pPr>
      <w:r w:rsidRPr="006C37B0">
        <w:rPr>
          <w:rFonts w:eastAsia="Times New Roman" w:cstheme="minorHAnsi"/>
          <w:color w:val="212721"/>
          <w:lang w:eastAsia="en-GB"/>
        </w:rPr>
        <w:t xml:space="preserve">Frenkel Topping has earned a reputation for commercial astuteness underpinned by a strong moral obligation to its clients, </w:t>
      </w:r>
      <w:proofErr w:type="gramStart"/>
      <w:r w:rsidRPr="006C37B0">
        <w:rPr>
          <w:rFonts w:eastAsia="Times New Roman" w:cstheme="minorHAnsi"/>
          <w:color w:val="212721"/>
          <w:lang w:eastAsia="en-GB"/>
        </w:rPr>
        <w:t>employees</w:t>
      </w:r>
      <w:proofErr w:type="gramEnd"/>
      <w:r w:rsidRPr="006C37B0">
        <w:rPr>
          <w:rFonts w:eastAsia="Times New Roman" w:cstheme="minorHAnsi"/>
          <w:color w:val="212721"/>
          <w:lang w:eastAsia="en-GB"/>
        </w:rPr>
        <w:t xml:space="preserve"> and wider society, with a continued focus on its Environmental, Social and Governance (ESG) impact.</w:t>
      </w:r>
    </w:p>
    <w:p w14:paraId="7DC49876" w14:textId="77777777" w:rsidR="00954ED2" w:rsidRPr="006C37B0" w:rsidRDefault="00954ED2" w:rsidP="00954ED2">
      <w:pPr>
        <w:spacing w:after="270" w:line="240" w:lineRule="auto"/>
        <w:jc w:val="both"/>
        <w:rPr>
          <w:rFonts w:eastAsia="Times New Roman" w:cstheme="minorHAnsi"/>
          <w:color w:val="212721"/>
          <w:lang w:eastAsia="en-GB"/>
        </w:rPr>
      </w:pPr>
      <w:r w:rsidRPr="006C37B0">
        <w:rPr>
          <w:rFonts w:eastAsia="Times New Roman" w:cstheme="minorHAnsi"/>
          <w:color w:val="212721"/>
          <w:lang w:eastAsia="en-GB"/>
        </w:rPr>
        <w:t>For more information visit:      </w:t>
      </w:r>
      <w:hyperlink r:id="rId9" w:history="1">
        <w:r w:rsidRPr="006C37B0">
          <w:rPr>
            <w:rFonts w:eastAsia="Times New Roman" w:cstheme="minorHAnsi"/>
            <w:color w:val="212721"/>
            <w:u w:val="single"/>
            <w:lang w:eastAsia="en-GB"/>
          </w:rPr>
          <w:t>www.frenkeltoppinggroup.co.uk</w:t>
        </w:r>
      </w:hyperlink>
    </w:p>
    <w:p w14:paraId="7A19E3FF" w14:textId="77777777" w:rsidR="00954ED2" w:rsidRPr="006C37B0" w:rsidRDefault="00954ED2" w:rsidP="00954ED2">
      <w:pPr>
        <w:jc w:val="both"/>
        <w:rPr>
          <w:rFonts w:cstheme="minorHAnsi"/>
        </w:rPr>
      </w:pPr>
    </w:p>
    <w:sectPr w:rsidR="00954ED2" w:rsidRPr="006C37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8D2166"/>
    <w:multiLevelType w:val="hybridMultilevel"/>
    <w:tmpl w:val="A4EC6FAC"/>
    <w:lvl w:ilvl="0" w:tplc="D200EF80">
      <w:start w:val="1"/>
      <w:numFmt w:val="bullet"/>
      <w:lvlText w:val=""/>
      <w:lvlJc w:val="left"/>
      <w:pPr>
        <w:ind w:left="720" w:hanging="360"/>
      </w:pPr>
      <w:rPr>
        <w:rFonts w:ascii="Symbol" w:eastAsiaTheme="minorHAnsi" w:hAnsi="Symbol" w:cs="Calibri" w:hint="default"/>
        <w:i/>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4197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954ED2"/>
    <w:rsid w:val="00063CBD"/>
    <w:rsid w:val="000C69B0"/>
    <w:rsid w:val="00101A7C"/>
    <w:rsid w:val="00120ED7"/>
    <w:rsid w:val="00123EA5"/>
    <w:rsid w:val="00125EAB"/>
    <w:rsid w:val="00194753"/>
    <w:rsid w:val="001B5021"/>
    <w:rsid w:val="00211DB5"/>
    <w:rsid w:val="00242F0A"/>
    <w:rsid w:val="0026495F"/>
    <w:rsid w:val="002C1DFC"/>
    <w:rsid w:val="003135D9"/>
    <w:rsid w:val="0035608A"/>
    <w:rsid w:val="003D1C10"/>
    <w:rsid w:val="004C1963"/>
    <w:rsid w:val="004E1B59"/>
    <w:rsid w:val="004E65CD"/>
    <w:rsid w:val="00500E0F"/>
    <w:rsid w:val="00502370"/>
    <w:rsid w:val="0052301C"/>
    <w:rsid w:val="005A72A6"/>
    <w:rsid w:val="005D4DCA"/>
    <w:rsid w:val="005D7FE2"/>
    <w:rsid w:val="00640AA6"/>
    <w:rsid w:val="00677BFA"/>
    <w:rsid w:val="00685C69"/>
    <w:rsid w:val="00694C82"/>
    <w:rsid w:val="006B11B8"/>
    <w:rsid w:val="006B6CB0"/>
    <w:rsid w:val="006C37B0"/>
    <w:rsid w:val="0076291B"/>
    <w:rsid w:val="007840D0"/>
    <w:rsid w:val="00822246"/>
    <w:rsid w:val="00872A5C"/>
    <w:rsid w:val="008858F2"/>
    <w:rsid w:val="00885AFC"/>
    <w:rsid w:val="008F1E29"/>
    <w:rsid w:val="00936B0A"/>
    <w:rsid w:val="00954ED2"/>
    <w:rsid w:val="009D5410"/>
    <w:rsid w:val="00A832CB"/>
    <w:rsid w:val="00AB441F"/>
    <w:rsid w:val="00AF18CC"/>
    <w:rsid w:val="00B0540E"/>
    <w:rsid w:val="00B1594B"/>
    <w:rsid w:val="00B21CF4"/>
    <w:rsid w:val="00B2733F"/>
    <w:rsid w:val="00B5339B"/>
    <w:rsid w:val="00C84295"/>
    <w:rsid w:val="00CF4050"/>
    <w:rsid w:val="00D17B48"/>
    <w:rsid w:val="00DB07F0"/>
    <w:rsid w:val="00DC0429"/>
    <w:rsid w:val="00E10BAE"/>
    <w:rsid w:val="00E23ABB"/>
    <w:rsid w:val="00E5533D"/>
    <w:rsid w:val="00E64C76"/>
    <w:rsid w:val="00E871CD"/>
    <w:rsid w:val="00F04499"/>
    <w:rsid w:val="00F10075"/>
    <w:rsid w:val="00F17094"/>
    <w:rsid w:val="00F226D6"/>
    <w:rsid w:val="00F852D9"/>
    <w:rsid w:val="00FD0A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72031"/>
  <w15:docId w15:val="{886A6B9A-6450-46CB-AFB7-B43CB13E4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
    <w:name w:val="bo"/>
    <w:basedOn w:val="Normal"/>
    <w:rsid w:val="00954E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m">
    <w:name w:val="bm"/>
    <w:basedOn w:val="DefaultParagraphFont"/>
    <w:rsid w:val="00954ED2"/>
  </w:style>
  <w:style w:type="paragraph" w:customStyle="1" w:styleId="bp">
    <w:name w:val="bp"/>
    <w:basedOn w:val="Normal"/>
    <w:rsid w:val="00954ED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u">
    <w:name w:val="bu"/>
    <w:basedOn w:val="Normal"/>
    <w:rsid w:val="00954ED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s">
    <w:name w:val="bs"/>
    <w:basedOn w:val="Normal"/>
    <w:rsid w:val="00954ED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54ED2"/>
    <w:pPr>
      <w:ind w:left="720"/>
      <w:contextualSpacing/>
    </w:pPr>
  </w:style>
  <w:style w:type="paragraph" w:customStyle="1" w:styleId="ca">
    <w:name w:val="ca"/>
    <w:basedOn w:val="Normal"/>
    <w:rsid w:val="00954E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d">
    <w:name w:val="bd"/>
    <w:basedOn w:val="DefaultParagraphFont"/>
    <w:rsid w:val="00954ED2"/>
  </w:style>
  <w:style w:type="character" w:customStyle="1" w:styleId="be">
    <w:name w:val="be"/>
    <w:basedOn w:val="DefaultParagraphFont"/>
    <w:rsid w:val="00954ED2"/>
  </w:style>
  <w:style w:type="character" w:customStyle="1" w:styleId="bc">
    <w:name w:val="bc"/>
    <w:basedOn w:val="DefaultParagraphFont"/>
    <w:rsid w:val="00954ED2"/>
  </w:style>
  <w:style w:type="paragraph" w:customStyle="1" w:styleId="cc">
    <w:name w:val="cc"/>
    <w:basedOn w:val="Normal"/>
    <w:rsid w:val="00954E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a">
    <w:name w:val="ba"/>
    <w:basedOn w:val="DefaultParagraphFont"/>
    <w:rsid w:val="00954ED2"/>
  </w:style>
  <w:style w:type="character" w:customStyle="1" w:styleId="ax">
    <w:name w:val="ax"/>
    <w:basedOn w:val="DefaultParagraphFont"/>
    <w:rsid w:val="00954ED2"/>
  </w:style>
  <w:style w:type="character" w:styleId="Hyperlink">
    <w:name w:val="Hyperlink"/>
    <w:basedOn w:val="DefaultParagraphFont"/>
    <w:uiPriority w:val="99"/>
    <w:semiHidden/>
    <w:unhideWhenUsed/>
    <w:rsid w:val="00954ED2"/>
    <w:rPr>
      <w:color w:val="0000FF"/>
      <w:u w:val="single"/>
    </w:rPr>
  </w:style>
  <w:style w:type="paragraph" w:customStyle="1" w:styleId="cd">
    <w:name w:val="cd"/>
    <w:basedOn w:val="Normal"/>
    <w:rsid w:val="00954ED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e">
    <w:name w:val="ce"/>
    <w:basedOn w:val="Normal"/>
    <w:rsid w:val="00954E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
    <w:name w:val="cf"/>
    <w:basedOn w:val="DefaultParagraphFont"/>
    <w:rsid w:val="00954ED2"/>
  </w:style>
  <w:style w:type="character" w:customStyle="1" w:styleId="cg">
    <w:name w:val="cg"/>
    <w:basedOn w:val="DefaultParagraphFont"/>
    <w:rsid w:val="00954ED2"/>
  </w:style>
  <w:style w:type="character" w:customStyle="1" w:styleId="ch">
    <w:name w:val="ch"/>
    <w:basedOn w:val="DefaultParagraphFont"/>
    <w:rsid w:val="00954ED2"/>
  </w:style>
  <w:style w:type="character" w:customStyle="1" w:styleId="al">
    <w:name w:val="al"/>
    <w:basedOn w:val="DefaultParagraphFont"/>
    <w:rsid w:val="00954ED2"/>
  </w:style>
  <w:style w:type="character" w:customStyle="1" w:styleId="ae">
    <w:name w:val="ae"/>
    <w:basedOn w:val="DefaultParagraphFont"/>
    <w:rsid w:val="00954ED2"/>
  </w:style>
  <w:style w:type="character" w:customStyle="1" w:styleId="ak">
    <w:name w:val="ak"/>
    <w:basedOn w:val="DefaultParagraphFont"/>
    <w:rsid w:val="00954ED2"/>
  </w:style>
  <w:style w:type="character" w:customStyle="1" w:styleId="br">
    <w:name w:val="br"/>
    <w:basedOn w:val="DefaultParagraphFont"/>
    <w:rsid w:val="00954ED2"/>
  </w:style>
  <w:style w:type="character" w:customStyle="1" w:styleId="bf">
    <w:name w:val="bf"/>
    <w:basedOn w:val="DefaultParagraphFont"/>
    <w:rsid w:val="00101A7C"/>
    <w:rPr>
      <w:i/>
      <w:iCs/>
      <w:sz w:val="20"/>
      <w:szCs w:val="20"/>
    </w:rPr>
  </w:style>
  <w:style w:type="character" w:customStyle="1" w:styleId="xn-money">
    <w:name w:val="xn-money"/>
    <w:basedOn w:val="DefaultParagraphFont"/>
    <w:rsid w:val="00101A7C"/>
  </w:style>
  <w:style w:type="character" w:styleId="CommentReference">
    <w:name w:val="annotation reference"/>
    <w:basedOn w:val="DefaultParagraphFont"/>
    <w:uiPriority w:val="99"/>
    <w:semiHidden/>
    <w:unhideWhenUsed/>
    <w:rsid w:val="005D7FE2"/>
    <w:rPr>
      <w:sz w:val="16"/>
      <w:szCs w:val="16"/>
    </w:rPr>
  </w:style>
  <w:style w:type="paragraph" w:styleId="CommentText">
    <w:name w:val="annotation text"/>
    <w:basedOn w:val="Normal"/>
    <w:link w:val="CommentTextChar"/>
    <w:uiPriority w:val="99"/>
    <w:semiHidden/>
    <w:unhideWhenUsed/>
    <w:rsid w:val="005D7FE2"/>
    <w:pPr>
      <w:spacing w:line="240" w:lineRule="auto"/>
    </w:pPr>
    <w:rPr>
      <w:sz w:val="20"/>
      <w:szCs w:val="20"/>
    </w:rPr>
  </w:style>
  <w:style w:type="character" w:customStyle="1" w:styleId="CommentTextChar">
    <w:name w:val="Comment Text Char"/>
    <w:basedOn w:val="DefaultParagraphFont"/>
    <w:link w:val="CommentText"/>
    <w:uiPriority w:val="99"/>
    <w:semiHidden/>
    <w:rsid w:val="005D7FE2"/>
    <w:rPr>
      <w:sz w:val="20"/>
      <w:szCs w:val="20"/>
    </w:rPr>
  </w:style>
  <w:style w:type="paragraph" w:styleId="CommentSubject">
    <w:name w:val="annotation subject"/>
    <w:basedOn w:val="CommentText"/>
    <w:next w:val="CommentText"/>
    <w:link w:val="CommentSubjectChar"/>
    <w:uiPriority w:val="99"/>
    <w:semiHidden/>
    <w:unhideWhenUsed/>
    <w:rsid w:val="005D7FE2"/>
    <w:rPr>
      <w:b/>
      <w:bCs/>
    </w:rPr>
  </w:style>
  <w:style w:type="character" w:customStyle="1" w:styleId="CommentSubjectChar">
    <w:name w:val="Comment Subject Char"/>
    <w:basedOn w:val="CommentTextChar"/>
    <w:link w:val="CommentSubject"/>
    <w:uiPriority w:val="99"/>
    <w:semiHidden/>
    <w:rsid w:val="005D7FE2"/>
    <w:rPr>
      <w:b/>
      <w:bCs/>
      <w:sz w:val="20"/>
      <w:szCs w:val="20"/>
    </w:rPr>
  </w:style>
  <w:style w:type="paragraph" w:customStyle="1" w:styleId="bq">
    <w:name w:val="bq"/>
    <w:basedOn w:val="Normal"/>
    <w:rsid w:val="00FD0A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k">
    <w:name w:val="bk"/>
    <w:basedOn w:val="DefaultParagraphFont"/>
    <w:rsid w:val="00FD0A7F"/>
    <w:rPr>
      <w:rFonts w:ascii="Calibri" w:hAnsi="Calibri" w:cs="Calibri" w:hint="default"/>
      <w:sz w:val="20"/>
      <w:szCs w:val="20"/>
    </w:rPr>
  </w:style>
  <w:style w:type="character" w:customStyle="1" w:styleId="az">
    <w:name w:val="az"/>
    <w:basedOn w:val="DefaultParagraphFont"/>
    <w:rsid w:val="00FD0A7F"/>
    <w:rPr>
      <w:rFonts w:ascii="Calibri" w:hAnsi="Calibri" w:cs="Calibri" w:hint="default"/>
      <w:sz w:val="22"/>
      <w:szCs w:val="22"/>
    </w:rPr>
  </w:style>
  <w:style w:type="character" w:customStyle="1" w:styleId="ay">
    <w:name w:val="ay"/>
    <w:basedOn w:val="DefaultParagraphFont"/>
    <w:rsid w:val="00FD0A7F"/>
    <w:rPr>
      <w:rFonts w:ascii="Calibri" w:hAnsi="Calibri" w:cs="Calibri" w:hint="default"/>
      <w:color w:val="auto"/>
      <w:sz w:val="22"/>
      <w:szCs w:val="22"/>
    </w:rPr>
  </w:style>
  <w:style w:type="character" w:customStyle="1" w:styleId="xn-location">
    <w:name w:val="xn-location"/>
    <w:basedOn w:val="DefaultParagraphFont"/>
    <w:rsid w:val="00FD0A7F"/>
  </w:style>
  <w:style w:type="paragraph" w:styleId="Revision">
    <w:name w:val="Revision"/>
    <w:hidden/>
    <w:uiPriority w:val="99"/>
    <w:semiHidden/>
    <w:rsid w:val="006B6CB0"/>
    <w:pPr>
      <w:spacing w:after="0" w:line="240" w:lineRule="auto"/>
    </w:pPr>
  </w:style>
  <w:style w:type="paragraph" w:styleId="BalloonText">
    <w:name w:val="Balloon Text"/>
    <w:basedOn w:val="Normal"/>
    <w:link w:val="BalloonTextChar"/>
    <w:uiPriority w:val="99"/>
    <w:semiHidden/>
    <w:unhideWhenUsed/>
    <w:rsid w:val="00E5533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5533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3315">
      <w:bodyDiv w:val="1"/>
      <w:marLeft w:val="0"/>
      <w:marRight w:val="0"/>
      <w:marTop w:val="0"/>
      <w:marBottom w:val="0"/>
      <w:divBdr>
        <w:top w:val="none" w:sz="0" w:space="0" w:color="auto"/>
        <w:left w:val="none" w:sz="0" w:space="0" w:color="auto"/>
        <w:bottom w:val="none" w:sz="0" w:space="0" w:color="auto"/>
        <w:right w:val="none" w:sz="0" w:space="0" w:color="auto"/>
      </w:divBdr>
    </w:div>
    <w:div w:id="724330153">
      <w:bodyDiv w:val="1"/>
      <w:marLeft w:val="0"/>
      <w:marRight w:val="0"/>
      <w:marTop w:val="0"/>
      <w:marBottom w:val="0"/>
      <w:divBdr>
        <w:top w:val="none" w:sz="0" w:space="0" w:color="auto"/>
        <w:left w:val="none" w:sz="0" w:space="0" w:color="auto"/>
        <w:bottom w:val="none" w:sz="0" w:space="0" w:color="auto"/>
        <w:right w:val="none" w:sz="0" w:space="0" w:color="auto"/>
      </w:divBdr>
    </w:div>
    <w:div w:id="1094784331">
      <w:bodyDiv w:val="1"/>
      <w:marLeft w:val="0"/>
      <w:marRight w:val="0"/>
      <w:marTop w:val="0"/>
      <w:marBottom w:val="0"/>
      <w:divBdr>
        <w:top w:val="none" w:sz="0" w:space="0" w:color="auto"/>
        <w:left w:val="none" w:sz="0" w:space="0" w:color="auto"/>
        <w:bottom w:val="none" w:sz="0" w:space="0" w:color="auto"/>
        <w:right w:val="none" w:sz="0" w:space="0" w:color="auto"/>
      </w:divBdr>
    </w:div>
    <w:div w:id="1464616575">
      <w:bodyDiv w:val="1"/>
      <w:marLeft w:val="0"/>
      <w:marRight w:val="0"/>
      <w:marTop w:val="0"/>
      <w:marBottom w:val="0"/>
      <w:divBdr>
        <w:top w:val="none" w:sz="0" w:space="0" w:color="auto"/>
        <w:left w:val="none" w:sz="0" w:space="0" w:color="auto"/>
        <w:bottom w:val="none" w:sz="0" w:space="0" w:color="auto"/>
        <w:right w:val="none" w:sz="0" w:space="0" w:color="auto"/>
      </w:divBdr>
    </w:div>
    <w:div w:id="1631591717">
      <w:bodyDiv w:val="1"/>
      <w:marLeft w:val="0"/>
      <w:marRight w:val="0"/>
      <w:marTop w:val="0"/>
      <w:marBottom w:val="0"/>
      <w:divBdr>
        <w:top w:val="none" w:sz="0" w:space="0" w:color="auto"/>
        <w:left w:val="none" w:sz="0" w:space="0" w:color="auto"/>
        <w:bottom w:val="none" w:sz="0" w:space="0" w:color="auto"/>
        <w:right w:val="none" w:sz="0" w:space="0" w:color="auto"/>
      </w:divBdr>
    </w:div>
    <w:div w:id="1636595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renkeltoppinggroup.co.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rotect-eu.mimecast.com/s/WNCMCR1EKSxDwoTNKWD-?domain=frenkeltoppinggroup.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EA3044AC87C14BABF0324AEF468353" ma:contentTypeVersion="7" ma:contentTypeDescription="Create a new document." ma:contentTypeScope="" ma:versionID="3039de76e2743b0fd1ded20f2a4a40a3">
  <xsd:schema xmlns:xsd="http://www.w3.org/2001/XMLSchema" xmlns:xs="http://www.w3.org/2001/XMLSchema" xmlns:p="http://schemas.microsoft.com/office/2006/metadata/properties" xmlns:ns3="ac3eaa88-4867-4f3c-9062-5d4d0f3234e9" xmlns:ns4="cb860811-ce53-4446-8984-0c0c703619d7" targetNamespace="http://schemas.microsoft.com/office/2006/metadata/properties" ma:root="true" ma:fieldsID="d45e3575260ddbbd09000eb6b243f2c8" ns3:_="" ns4:_="">
    <xsd:import namespace="ac3eaa88-4867-4f3c-9062-5d4d0f3234e9"/>
    <xsd:import namespace="cb860811-ce53-4446-8984-0c0c703619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eaa88-4867-4f3c-9062-5d4d0f3234e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860811-ce53-4446-8984-0c0c703619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392ACC-CE6A-4A68-86C6-E0E1A37F758D}">
  <ds:schemaRefs>
    <ds:schemaRef ds:uri="http://schemas.microsoft.com/sharepoint/v3/contenttype/forms"/>
  </ds:schemaRefs>
</ds:datastoreItem>
</file>

<file path=customXml/itemProps2.xml><?xml version="1.0" encoding="utf-8"?>
<ds:datastoreItem xmlns:ds="http://schemas.openxmlformats.org/officeDocument/2006/customXml" ds:itemID="{4702C3F7-755C-4B89-B279-C1526D5C8762}">
  <ds:schemaRefs>
    <ds:schemaRef ds:uri="http://schemas.microsoft.com/office/infopath/2007/PartnerControls"/>
    <ds:schemaRef ds:uri="http://schemas.microsoft.com/office/2006/documentManagement/types"/>
    <ds:schemaRef ds:uri="cb860811-ce53-4446-8984-0c0c703619d7"/>
    <ds:schemaRef ds:uri="http://purl.org/dc/terms/"/>
    <ds:schemaRef ds:uri="http://purl.org/dc/dcmitype/"/>
    <ds:schemaRef ds:uri="http://schemas.microsoft.com/office/2006/metadata/properties"/>
    <ds:schemaRef ds:uri="http://purl.org/dc/elements/1.1/"/>
    <ds:schemaRef ds:uri="ac3eaa88-4867-4f3c-9062-5d4d0f3234e9"/>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82423B7-9A8E-479E-849C-31240921E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3eaa88-4867-4f3c-9062-5d4d0f3234e9"/>
    <ds:schemaRef ds:uri="cb860811-ce53-4446-8984-0c0c70361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1321</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Holmes</dc:creator>
  <cp:keywords/>
  <dc:description/>
  <cp:lastModifiedBy>Elaine Cullen-Grant</cp:lastModifiedBy>
  <cp:revision>2</cp:revision>
  <cp:lastPrinted>2023-02-03T12:16:00Z</cp:lastPrinted>
  <dcterms:created xsi:type="dcterms:W3CDTF">2023-02-06T14:47:00Z</dcterms:created>
  <dcterms:modified xsi:type="dcterms:W3CDTF">2023-02-06T14:47:00Z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0x010100A3EA3044AC87C14BABF0324AEF468353</vt:lpwstr>
  </property>
</Properties>
</file>