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A974" w14:textId="77777777" w:rsidR="001A1178" w:rsidRPr="000F6AFE" w:rsidRDefault="001A1178" w:rsidP="001A1178">
      <w:pPr>
        <w:pStyle w:val="jr"/>
        <w:spacing w:before="0" w:beforeAutospacing="0" w:after="270" w:afterAutospacing="0"/>
        <w:jc w:val="center"/>
        <w:rPr>
          <w:rFonts w:ascii="Arial" w:hAnsi="Arial" w:cs="Arial"/>
          <w:b/>
          <w:bCs/>
          <w:color w:val="212721"/>
          <w:sz w:val="20"/>
          <w:szCs w:val="20"/>
        </w:rPr>
      </w:pPr>
      <w:r w:rsidRPr="000F6AFE">
        <w:rPr>
          <w:rFonts w:ascii="Arial" w:hAnsi="Arial" w:cs="Arial"/>
          <w:b/>
          <w:bCs/>
          <w:color w:val="212721"/>
          <w:sz w:val="20"/>
          <w:szCs w:val="20"/>
        </w:rPr>
        <w:br/>
      </w:r>
      <w:r w:rsidRPr="000F6AFE">
        <w:rPr>
          <w:rStyle w:val="jp"/>
          <w:rFonts w:ascii="Arial" w:hAnsi="Arial" w:cs="Arial"/>
          <w:b/>
          <w:bCs/>
          <w:color w:val="212721"/>
          <w:sz w:val="20"/>
          <w:szCs w:val="20"/>
        </w:rPr>
        <w:t>Frenkel Topping Group plc</w:t>
      </w:r>
    </w:p>
    <w:p w14:paraId="1180857C" w14:textId="77777777" w:rsidR="001A1178" w:rsidRPr="000F6AFE" w:rsidRDefault="001A1178" w:rsidP="001A1178">
      <w:pPr>
        <w:pStyle w:val="js"/>
        <w:spacing w:before="0" w:beforeAutospacing="0" w:after="270" w:afterAutospacing="0"/>
        <w:ind w:left="480" w:hanging="480"/>
        <w:jc w:val="center"/>
        <w:rPr>
          <w:rFonts w:ascii="Arial" w:hAnsi="Arial" w:cs="Arial"/>
          <w:color w:val="212721"/>
          <w:sz w:val="20"/>
          <w:szCs w:val="20"/>
        </w:rPr>
      </w:pPr>
      <w:r w:rsidRPr="000F6AFE">
        <w:rPr>
          <w:rStyle w:val="jp"/>
          <w:rFonts w:ascii="Arial" w:hAnsi="Arial" w:cs="Arial"/>
          <w:color w:val="212721"/>
          <w:sz w:val="20"/>
          <w:szCs w:val="20"/>
        </w:rPr>
        <w:t>("Frenkel Topping", "the Company" or the "Group")</w:t>
      </w:r>
    </w:p>
    <w:p w14:paraId="0A8D9E53" w14:textId="77777777" w:rsidR="001A1178" w:rsidRPr="000F6AFE" w:rsidRDefault="001A1178" w:rsidP="001A1178">
      <w:pPr>
        <w:pStyle w:val="a"/>
        <w:spacing w:before="0" w:beforeAutospacing="0" w:after="270" w:afterAutospacing="0"/>
        <w:rPr>
          <w:rFonts w:ascii="Arial" w:hAnsi="Arial" w:cs="Arial"/>
          <w:color w:val="212721"/>
          <w:sz w:val="20"/>
          <w:szCs w:val="20"/>
        </w:rPr>
      </w:pPr>
      <w:r w:rsidRPr="000F6AFE">
        <w:rPr>
          <w:rStyle w:val="jp"/>
          <w:rFonts w:ascii="Arial" w:hAnsi="Arial" w:cs="Arial"/>
          <w:color w:val="212721"/>
          <w:sz w:val="20"/>
          <w:szCs w:val="20"/>
        </w:rPr>
        <w:t> </w:t>
      </w:r>
    </w:p>
    <w:p w14:paraId="7B10887E" w14:textId="1D470879" w:rsidR="001A1178" w:rsidRPr="000F6AFE" w:rsidRDefault="001A1178" w:rsidP="001A117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721"/>
          <w:kern w:val="36"/>
          <w:sz w:val="20"/>
          <w:szCs w:val="20"/>
          <w:lang w:eastAsia="en-GB"/>
        </w:rPr>
      </w:pPr>
      <w:r w:rsidRPr="000F6AFE">
        <w:rPr>
          <w:rFonts w:ascii="Arial" w:eastAsia="Times New Roman" w:hAnsi="Arial" w:cs="Arial"/>
          <w:b/>
          <w:bCs/>
          <w:color w:val="212721"/>
          <w:kern w:val="36"/>
          <w:sz w:val="20"/>
          <w:szCs w:val="20"/>
          <w:lang w:eastAsia="en-GB"/>
        </w:rPr>
        <w:t>Posting of Annual Report &amp; Accounts</w:t>
      </w:r>
      <w:r w:rsidR="001B0286" w:rsidRPr="000F6AFE">
        <w:rPr>
          <w:rFonts w:ascii="Arial" w:eastAsia="Times New Roman" w:hAnsi="Arial" w:cs="Arial"/>
          <w:b/>
          <w:bCs/>
          <w:color w:val="212721"/>
          <w:kern w:val="36"/>
          <w:sz w:val="20"/>
          <w:szCs w:val="20"/>
          <w:lang w:eastAsia="en-GB"/>
        </w:rPr>
        <w:t>,</w:t>
      </w:r>
      <w:r w:rsidRPr="000F6AFE">
        <w:rPr>
          <w:rFonts w:ascii="Arial" w:eastAsia="Times New Roman" w:hAnsi="Arial" w:cs="Arial"/>
          <w:b/>
          <w:bCs/>
          <w:color w:val="212721"/>
          <w:kern w:val="36"/>
          <w:sz w:val="20"/>
          <w:szCs w:val="20"/>
          <w:lang w:eastAsia="en-GB"/>
        </w:rPr>
        <w:t xml:space="preserve"> Notice of AGM</w:t>
      </w:r>
      <w:r w:rsidR="001B0286" w:rsidRPr="000F6AFE">
        <w:rPr>
          <w:rFonts w:ascii="Arial" w:eastAsia="Times New Roman" w:hAnsi="Arial" w:cs="Arial"/>
          <w:b/>
          <w:bCs/>
          <w:color w:val="212721"/>
          <w:kern w:val="36"/>
          <w:sz w:val="20"/>
          <w:szCs w:val="20"/>
          <w:lang w:eastAsia="en-GB"/>
        </w:rPr>
        <w:t xml:space="preserve"> &amp; Dividend Timetable</w:t>
      </w:r>
    </w:p>
    <w:p w14:paraId="05F1B13B" w14:textId="77777777" w:rsidR="001A1178" w:rsidRPr="000F6AFE" w:rsidRDefault="001A1178" w:rsidP="001A1178">
      <w:pPr>
        <w:pStyle w:val="jr"/>
        <w:spacing w:before="0" w:beforeAutospacing="0" w:after="270" w:afterAutospacing="0"/>
        <w:jc w:val="center"/>
        <w:rPr>
          <w:rFonts w:ascii="Arial" w:hAnsi="Arial" w:cs="Arial"/>
          <w:b/>
          <w:bCs/>
          <w:color w:val="212721"/>
          <w:sz w:val="20"/>
          <w:szCs w:val="20"/>
        </w:rPr>
      </w:pPr>
      <w:r w:rsidRPr="000F6AFE">
        <w:rPr>
          <w:rStyle w:val="jp"/>
          <w:rFonts w:ascii="Arial" w:hAnsi="Arial" w:cs="Arial"/>
          <w:b/>
          <w:bCs/>
          <w:color w:val="212721"/>
          <w:sz w:val="20"/>
          <w:szCs w:val="20"/>
        </w:rPr>
        <w:t> </w:t>
      </w:r>
    </w:p>
    <w:p w14:paraId="08A2A89F" w14:textId="6FD19373" w:rsidR="001A1178" w:rsidRPr="006933A5" w:rsidRDefault="001A1178" w:rsidP="006933A5">
      <w:pPr>
        <w:pStyle w:val="aw"/>
        <w:spacing w:before="240" w:beforeAutospacing="0" w:after="270" w:afterAutospacing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933A5">
        <w:rPr>
          <w:rFonts w:ascii="Arial" w:hAnsi="Arial" w:cs="Arial"/>
          <w:color w:val="000000"/>
          <w:sz w:val="20"/>
          <w:szCs w:val="20"/>
        </w:rPr>
        <w:t xml:space="preserve">Frenkel Topping Group (AIM: FEN), a specialist professional and financial services firm operating in the Personal Injury (PI) Clinical Negligence (CN) space, announces that it has </w:t>
      </w:r>
      <w:r w:rsidR="000F6AFE" w:rsidRPr="006933A5">
        <w:rPr>
          <w:rFonts w:ascii="Arial" w:hAnsi="Arial" w:cs="Arial"/>
          <w:color w:val="000000"/>
          <w:sz w:val="20"/>
          <w:szCs w:val="20"/>
        </w:rPr>
        <w:t>today p</w:t>
      </w:r>
      <w:r w:rsidRPr="006933A5">
        <w:rPr>
          <w:rFonts w:ascii="Arial" w:hAnsi="Arial" w:cs="Arial"/>
          <w:color w:val="000000"/>
          <w:sz w:val="20"/>
          <w:szCs w:val="20"/>
        </w:rPr>
        <w:t xml:space="preserve">osted </w:t>
      </w:r>
      <w:r w:rsidR="000F6AFE" w:rsidRPr="006933A5">
        <w:rPr>
          <w:rFonts w:ascii="Arial" w:hAnsi="Arial" w:cs="Arial"/>
          <w:color w:val="000000"/>
          <w:sz w:val="20"/>
          <w:szCs w:val="20"/>
        </w:rPr>
        <w:t>its</w:t>
      </w:r>
      <w:r w:rsidRPr="006933A5">
        <w:rPr>
          <w:rFonts w:ascii="Arial" w:hAnsi="Arial" w:cs="Arial"/>
          <w:color w:val="000000"/>
          <w:sz w:val="20"/>
          <w:szCs w:val="20"/>
        </w:rPr>
        <w:t xml:space="preserve"> Annual Report &amp; Accounts for the year ended </w:t>
      </w:r>
      <w:r w:rsidR="000F6AFE" w:rsidRPr="006933A5">
        <w:rPr>
          <w:rFonts w:ascii="Arial" w:hAnsi="Arial" w:cs="Arial"/>
          <w:color w:val="000000"/>
          <w:sz w:val="20"/>
          <w:szCs w:val="20"/>
        </w:rPr>
        <w:t>31 December 202</w:t>
      </w:r>
      <w:r w:rsidR="00B600AB">
        <w:rPr>
          <w:rFonts w:ascii="Arial" w:hAnsi="Arial" w:cs="Arial"/>
          <w:color w:val="000000"/>
          <w:sz w:val="20"/>
          <w:szCs w:val="20"/>
        </w:rPr>
        <w:t>2</w:t>
      </w:r>
      <w:r w:rsidR="000F6AFE" w:rsidRPr="006933A5">
        <w:rPr>
          <w:rFonts w:ascii="Arial" w:hAnsi="Arial" w:cs="Arial"/>
          <w:color w:val="000000"/>
          <w:sz w:val="20"/>
          <w:szCs w:val="20"/>
        </w:rPr>
        <w:t xml:space="preserve"> </w:t>
      </w:r>
      <w:r w:rsidR="000F6AFE">
        <w:rPr>
          <w:rFonts w:ascii="Arial" w:hAnsi="Arial" w:cs="Arial"/>
          <w:color w:val="000000"/>
          <w:sz w:val="20"/>
          <w:szCs w:val="20"/>
        </w:rPr>
        <w:t>and notice of</w:t>
      </w:r>
      <w:r w:rsidRPr="006933A5">
        <w:rPr>
          <w:rFonts w:ascii="Arial" w:hAnsi="Arial" w:cs="Arial"/>
          <w:color w:val="000000"/>
          <w:sz w:val="20"/>
          <w:szCs w:val="20"/>
        </w:rPr>
        <w:t xml:space="preserve"> Annual General Meeting ("AGM")</w:t>
      </w:r>
      <w:r w:rsidR="000F6AFE" w:rsidRPr="006933A5">
        <w:rPr>
          <w:rFonts w:ascii="Arial" w:hAnsi="Arial" w:cs="Arial"/>
          <w:color w:val="000000"/>
          <w:sz w:val="20"/>
          <w:szCs w:val="20"/>
        </w:rPr>
        <w:t xml:space="preserve"> to be held on </w:t>
      </w:r>
      <w:r w:rsidR="00B600AB">
        <w:rPr>
          <w:rFonts w:ascii="Arial" w:hAnsi="Arial" w:cs="Arial"/>
          <w:color w:val="000000"/>
          <w:sz w:val="20"/>
          <w:szCs w:val="20"/>
        </w:rPr>
        <w:t>13</w:t>
      </w:r>
      <w:r w:rsidR="00087779">
        <w:rPr>
          <w:rFonts w:ascii="Arial" w:hAnsi="Arial" w:cs="Arial"/>
          <w:color w:val="000000"/>
          <w:sz w:val="20"/>
          <w:szCs w:val="20"/>
        </w:rPr>
        <w:t xml:space="preserve"> June </w:t>
      </w:r>
      <w:r w:rsidR="000F6AFE" w:rsidRPr="006933A5">
        <w:rPr>
          <w:rFonts w:ascii="Arial" w:hAnsi="Arial" w:cs="Arial"/>
          <w:color w:val="000000"/>
          <w:sz w:val="20"/>
          <w:szCs w:val="20"/>
        </w:rPr>
        <w:t>202</w:t>
      </w:r>
      <w:r w:rsidR="00B600AB">
        <w:rPr>
          <w:rFonts w:ascii="Arial" w:hAnsi="Arial" w:cs="Arial"/>
          <w:color w:val="000000"/>
          <w:sz w:val="20"/>
          <w:szCs w:val="20"/>
        </w:rPr>
        <w:t>3</w:t>
      </w:r>
      <w:r w:rsidR="000F6AFE" w:rsidRPr="006933A5">
        <w:rPr>
          <w:rFonts w:ascii="Arial" w:hAnsi="Arial" w:cs="Arial"/>
          <w:color w:val="000000"/>
          <w:sz w:val="20"/>
          <w:szCs w:val="20"/>
        </w:rPr>
        <w:t xml:space="preserve"> at </w:t>
      </w:r>
      <w:r w:rsidR="006933A5" w:rsidRPr="006933A5">
        <w:rPr>
          <w:rFonts w:ascii="Arial" w:hAnsi="Arial" w:cs="Arial"/>
          <w:color w:val="000000"/>
          <w:sz w:val="20"/>
          <w:szCs w:val="20"/>
        </w:rPr>
        <w:t>1</w:t>
      </w:r>
      <w:r w:rsidR="00B600AB">
        <w:rPr>
          <w:rFonts w:ascii="Arial" w:hAnsi="Arial" w:cs="Arial"/>
          <w:color w:val="000000"/>
          <w:sz w:val="20"/>
          <w:szCs w:val="20"/>
        </w:rPr>
        <w:t>0</w:t>
      </w:r>
      <w:r w:rsidR="000F6AFE" w:rsidRPr="006933A5">
        <w:rPr>
          <w:rFonts w:ascii="Arial" w:hAnsi="Arial" w:cs="Arial"/>
          <w:color w:val="000000"/>
          <w:sz w:val="20"/>
          <w:szCs w:val="20"/>
        </w:rPr>
        <w:t xml:space="preserve"> a.m</w:t>
      </w:r>
      <w:r w:rsidR="006933A5">
        <w:rPr>
          <w:rFonts w:ascii="Arial" w:hAnsi="Arial" w:cs="Arial"/>
          <w:color w:val="000000"/>
          <w:sz w:val="20"/>
          <w:szCs w:val="20"/>
        </w:rPr>
        <w:t>. at</w:t>
      </w:r>
      <w:r w:rsidR="000F6AFE" w:rsidRPr="006933A5">
        <w:rPr>
          <w:rFonts w:ascii="Arial" w:hAnsi="Arial" w:cs="Arial"/>
          <w:color w:val="000000"/>
          <w:sz w:val="20"/>
          <w:szCs w:val="20"/>
        </w:rPr>
        <w:t xml:space="preserve"> </w:t>
      </w:r>
      <w:r w:rsidR="006933A5" w:rsidRPr="006933A5">
        <w:rPr>
          <w:rFonts w:ascii="Arial" w:hAnsi="Arial" w:cs="Arial"/>
          <w:color w:val="000000"/>
          <w:sz w:val="20"/>
          <w:szCs w:val="20"/>
        </w:rPr>
        <w:t>Frenkel House, 15 Carolina Way, Salford, M50</w:t>
      </w:r>
      <w:r w:rsidR="00B600AB">
        <w:rPr>
          <w:rFonts w:ascii="Arial" w:hAnsi="Arial" w:cs="Arial"/>
          <w:color w:val="000000"/>
          <w:sz w:val="20"/>
          <w:szCs w:val="20"/>
        </w:rPr>
        <w:t xml:space="preserve"> 2ZY</w:t>
      </w:r>
      <w:r w:rsidR="006933A5" w:rsidRPr="006933A5">
        <w:rPr>
          <w:rFonts w:ascii="Arial" w:hAnsi="Arial" w:cs="Arial"/>
          <w:color w:val="000000"/>
          <w:sz w:val="20"/>
          <w:szCs w:val="20"/>
        </w:rPr>
        <w:t>.</w:t>
      </w:r>
    </w:p>
    <w:p w14:paraId="632B90CF" w14:textId="32FAAA99" w:rsidR="001A1178" w:rsidRPr="006933A5" w:rsidRDefault="001A1178" w:rsidP="001A1178">
      <w:pPr>
        <w:pStyle w:val="aw"/>
        <w:spacing w:before="240" w:beforeAutospacing="0" w:after="270" w:afterAutospacing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933A5">
        <w:rPr>
          <w:rFonts w:ascii="Arial" w:hAnsi="Arial" w:cs="Arial"/>
          <w:color w:val="000000"/>
          <w:sz w:val="20"/>
          <w:szCs w:val="20"/>
        </w:rPr>
        <w:t xml:space="preserve">A copy of the Annual Report &amp; Accounts and the notice of AGM will shortly be available on the Company's website at </w:t>
      </w:r>
      <w:hyperlink r:id="rId4" w:history="1">
        <w:r w:rsidR="00B600AB" w:rsidRPr="00FF02BF">
          <w:rPr>
            <w:rStyle w:val="Hyperlink"/>
            <w:rFonts w:ascii="Arial" w:hAnsi="Arial" w:cs="Arial"/>
            <w:sz w:val="20"/>
            <w:szCs w:val="20"/>
          </w:rPr>
          <w:t>www.frenkeltoppinggroup.co.uk</w:t>
        </w:r>
      </w:hyperlink>
    </w:p>
    <w:p w14:paraId="3CDC1A24" w14:textId="3F755E4E" w:rsidR="001A1178" w:rsidRPr="006933A5" w:rsidRDefault="001B0286" w:rsidP="001A1178">
      <w:pPr>
        <w:pStyle w:val="aw"/>
        <w:spacing w:before="240" w:beforeAutospacing="0" w:after="270" w:afterAutospacing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F6AFE">
        <w:rPr>
          <w:rFonts w:ascii="Arial" w:hAnsi="Arial" w:cs="Arial"/>
          <w:color w:val="000000"/>
          <w:sz w:val="20"/>
          <w:szCs w:val="20"/>
        </w:rPr>
        <w:t xml:space="preserve">The Company also announces the dividend record and ex-dividend dates. If approved by the Company's shareholders at the AGM, the Company will pay a final dividend of </w:t>
      </w:r>
      <w:r w:rsidR="00B600AB">
        <w:rPr>
          <w:rFonts w:ascii="Arial" w:hAnsi="Arial" w:cs="Arial"/>
          <w:color w:val="000000"/>
          <w:sz w:val="20"/>
          <w:szCs w:val="20"/>
        </w:rPr>
        <w:t>1.03</w:t>
      </w:r>
      <w:r w:rsidRPr="000F6AFE">
        <w:rPr>
          <w:rFonts w:ascii="Arial" w:hAnsi="Arial" w:cs="Arial"/>
          <w:color w:val="000000"/>
          <w:sz w:val="20"/>
          <w:szCs w:val="20"/>
        </w:rPr>
        <w:t xml:space="preserve"> pence per share on </w:t>
      </w:r>
      <w:r w:rsidR="00B600AB">
        <w:rPr>
          <w:rFonts w:ascii="Arial" w:hAnsi="Arial" w:cs="Arial"/>
          <w:color w:val="000000"/>
          <w:sz w:val="20"/>
          <w:szCs w:val="20"/>
        </w:rPr>
        <w:t>20 October</w:t>
      </w:r>
      <w:r w:rsidRPr="000F6AFE">
        <w:rPr>
          <w:rFonts w:ascii="Arial" w:hAnsi="Arial" w:cs="Arial"/>
          <w:color w:val="000000"/>
          <w:sz w:val="20"/>
          <w:szCs w:val="20"/>
        </w:rPr>
        <w:t xml:space="preserve"> 202</w:t>
      </w:r>
      <w:r w:rsidR="00CA2D73">
        <w:rPr>
          <w:rFonts w:ascii="Arial" w:hAnsi="Arial" w:cs="Arial"/>
          <w:color w:val="000000"/>
          <w:sz w:val="20"/>
          <w:szCs w:val="20"/>
        </w:rPr>
        <w:t>3</w:t>
      </w:r>
      <w:r w:rsidRPr="000F6AFE">
        <w:rPr>
          <w:rFonts w:ascii="Arial" w:hAnsi="Arial" w:cs="Arial"/>
          <w:color w:val="000000"/>
          <w:sz w:val="20"/>
          <w:szCs w:val="20"/>
        </w:rPr>
        <w:t xml:space="preserve"> to shareholders on the register at </w:t>
      </w:r>
      <w:r w:rsidR="00CA2D73">
        <w:rPr>
          <w:rFonts w:ascii="Arial" w:hAnsi="Arial" w:cs="Arial"/>
          <w:color w:val="000000"/>
          <w:sz w:val="20"/>
          <w:szCs w:val="20"/>
        </w:rPr>
        <w:t>close of business on 6 October</w:t>
      </w:r>
      <w:r w:rsidRPr="000F6AFE">
        <w:rPr>
          <w:rFonts w:ascii="Arial" w:hAnsi="Arial" w:cs="Arial"/>
          <w:color w:val="000000"/>
          <w:sz w:val="20"/>
          <w:szCs w:val="20"/>
        </w:rPr>
        <w:t xml:space="preserve"> 202</w:t>
      </w:r>
      <w:r w:rsidR="00CA2D73">
        <w:rPr>
          <w:rFonts w:ascii="Arial" w:hAnsi="Arial" w:cs="Arial"/>
          <w:color w:val="000000"/>
          <w:sz w:val="20"/>
          <w:szCs w:val="20"/>
        </w:rPr>
        <w:t>3</w:t>
      </w:r>
      <w:r w:rsidRPr="000F6AFE">
        <w:rPr>
          <w:rFonts w:ascii="Arial" w:hAnsi="Arial" w:cs="Arial"/>
          <w:color w:val="000000"/>
          <w:sz w:val="20"/>
          <w:szCs w:val="20"/>
        </w:rPr>
        <w:t xml:space="preserve">.  The shares will go ex-dividend on </w:t>
      </w:r>
      <w:r w:rsidR="00CA2D73">
        <w:rPr>
          <w:rFonts w:ascii="Arial" w:hAnsi="Arial" w:cs="Arial"/>
          <w:color w:val="000000"/>
          <w:sz w:val="20"/>
          <w:szCs w:val="20"/>
        </w:rPr>
        <w:t>5 October</w:t>
      </w:r>
      <w:r w:rsidRPr="000F6AFE">
        <w:rPr>
          <w:rFonts w:ascii="Arial" w:hAnsi="Arial" w:cs="Arial"/>
          <w:color w:val="000000"/>
          <w:sz w:val="20"/>
          <w:szCs w:val="20"/>
        </w:rPr>
        <w:t xml:space="preserve"> 202</w:t>
      </w:r>
      <w:r w:rsidR="00CA2D73">
        <w:rPr>
          <w:rFonts w:ascii="Arial" w:hAnsi="Arial" w:cs="Arial"/>
          <w:color w:val="000000"/>
          <w:sz w:val="20"/>
          <w:szCs w:val="20"/>
        </w:rPr>
        <w:t>3</w:t>
      </w:r>
      <w:r w:rsidRPr="000F6AFE">
        <w:rPr>
          <w:rFonts w:ascii="Arial" w:hAnsi="Arial" w:cs="Arial"/>
          <w:color w:val="000000"/>
          <w:sz w:val="20"/>
          <w:szCs w:val="20"/>
        </w:rPr>
        <w:t>.</w:t>
      </w:r>
    </w:p>
    <w:p w14:paraId="78B57E8C" w14:textId="77777777" w:rsidR="001A1178" w:rsidRPr="000F6AFE" w:rsidRDefault="001A1178" w:rsidP="001A1178">
      <w:pPr>
        <w:pStyle w:val="aw"/>
        <w:spacing w:before="240" w:beforeAutospacing="0" w:after="270" w:afterAutospacing="0" w:line="288" w:lineRule="atLeast"/>
        <w:jc w:val="both"/>
        <w:rPr>
          <w:rFonts w:ascii="Arial" w:hAnsi="Arial" w:cs="Arial"/>
          <w:color w:val="212721"/>
          <w:sz w:val="20"/>
          <w:szCs w:val="20"/>
        </w:rPr>
      </w:pPr>
    </w:p>
    <w:p w14:paraId="5D164925" w14:textId="77777777" w:rsidR="001A1178" w:rsidRPr="000F6AFE" w:rsidRDefault="001A1178" w:rsidP="001A1178">
      <w:pPr>
        <w:spacing w:after="270" w:line="253" w:lineRule="atLeast"/>
        <w:rPr>
          <w:rFonts w:ascii="Arial" w:eastAsia="Times New Roman" w:hAnsi="Arial" w:cs="Arial"/>
          <w:color w:val="212721"/>
          <w:sz w:val="20"/>
          <w:szCs w:val="20"/>
          <w:lang w:eastAsia="en-GB"/>
        </w:rPr>
      </w:pPr>
      <w:r w:rsidRPr="000F6AFE">
        <w:rPr>
          <w:rFonts w:ascii="Arial" w:eastAsia="Times New Roman" w:hAnsi="Arial" w:cs="Arial"/>
          <w:b/>
          <w:bCs/>
          <w:color w:val="212721"/>
          <w:sz w:val="20"/>
          <w:szCs w:val="20"/>
          <w:lang w:eastAsia="en-GB"/>
        </w:rPr>
        <w:t>For further information: </w:t>
      </w:r>
      <w:r w:rsidRPr="000F6AFE">
        <w:rPr>
          <w:rFonts w:ascii="Arial" w:eastAsia="Times New Roman" w:hAnsi="Arial" w:cs="Arial"/>
          <w:color w:val="212721"/>
          <w:sz w:val="20"/>
          <w:szCs w:val="20"/>
          <w:shd w:val="clear" w:color="auto" w:fill="FEFEFE"/>
          <w:lang w:eastAsia="en-GB"/>
        </w:rPr>
        <w:t> </w:t>
      </w:r>
    </w:p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297"/>
      </w:tblGrid>
      <w:tr w:rsidR="001A1178" w:rsidRPr="000F6AFE" w14:paraId="4761514F" w14:textId="77777777" w:rsidTr="00FD33A7">
        <w:trPr>
          <w:trHeight w:val="228"/>
        </w:trPr>
        <w:tc>
          <w:tcPr>
            <w:tcW w:w="6663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3B00E63C" w14:textId="77777777" w:rsidR="001A1178" w:rsidRPr="000F6AFE" w:rsidRDefault="001A1178" w:rsidP="001A1178">
            <w:pPr>
              <w:spacing w:after="270" w:line="240" w:lineRule="auto"/>
              <w:jc w:val="both"/>
              <w:rPr>
                <w:rFonts w:ascii="Arial" w:eastAsia="Times New Roman" w:hAnsi="Arial" w:cs="Arial"/>
                <w:b/>
                <w:bCs/>
                <w:color w:val="212721"/>
                <w:sz w:val="20"/>
                <w:szCs w:val="20"/>
                <w:lang w:eastAsia="en-GB"/>
              </w:rPr>
            </w:pPr>
            <w:r w:rsidRPr="000F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Frenkel Topping Group plc</w:t>
            </w:r>
          </w:p>
        </w:tc>
        <w:tc>
          <w:tcPr>
            <w:tcW w:w="329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C8D64D0" w14:textId="77777777" w:rsidR="001A1178" w:rsidRPr="000F6AFE" w:rsidRDefault="00B16353" w:rsidP="001A1178">
            <w:pPr>
              <w:spacing w:after="270" w:line="240" w:lineRule="auto"/>
              <w:jc w:val="both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hyperlink r:id="rId5" w:history="1">
              <w:r w:rsidR="001A1178" w:rsidRPr="000F6AFE">
                <w:rPr>
                  <w:rFonts w:ascii="Arial" w:eastAsia="Times New Roman" w:hAnsi="Arial" w:cs="Arial"/>
                  <w:color w:val="212721"/>
                  <w:sz w:val="20"/>
                  <w:szCs w:val="20"/>
                  <w:u w:val="single"/>
                  <w:lang w:eastAsia="en-GB"/>
                </w:rPr>
                <w:t>www.frenkeltoppinggroup.co.uk</w:t>
              </w:r>
            </w:hyperlink>
          </w:p>
        </w:tc>
      </w:tr>
      <w:tr w:rsidR="001A1178" w:rsidRPr="000F6AFE" w14:paraId="689F9CC9" w14:textId="77777777" w:rsidTr="00FD33A7">
        <w:trPr>
          <w:trHeight w:val="228"/>
        </w:trPr>
        <w:tc>
          <w:tcPr>
            <w:tcW w:w="6663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7B79240E" w14:textId="77777777" w:rsidR="001A1178" w:rsidRPr="000F6AFE" w:rsidRDefault="001A1178" w:rsidP="001A1178">
            <w:pPr>
              <w:spacing w:after="270" w:line="240" w:lineRule="auto"/>
              <w:jc w:val="both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0F6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Fraser, Chief Executive Officer</w:t>
            </w:r>
          </w:p>
        </w:tc>
        <w:tc>
          <w:tcPr>
            <w:tcW w:w="329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71691D8D" w14:textId="77777777" w:rsidR="001A1178" w:rsidRPr="000F6AFE" w:rsidRDefault="001A1178" w:rsidP="001A1178">
            <w:pPr>
              <w:spacing w:after="270" w:line="240" w:lineRule="auto"/>
              <w:jc w:val="both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0F6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Tel: 0161 886 8000</w:t>
            </w:r>
          </w:p>
        </w:tc>
      </w:tr>
      <w:tr w:rsidR="001A1178" w:rsidRPr="000F6AFE" w14:paraId="51537FBB" w14:textId="77777777" w:rsidTr="00FD33A7">
        <w:trPr>
          <w:trHeight w:val="228"/>
        </w:trPr>
        <w:tc>
          <w:tcPr>
            <w:tcW w:w="6663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4E4EC0E2" w14:textId="77777777" w:rsidR="001A1178" w:rsidRPr="000F6AFE" w:rsidRDefault="001A1178" w:rsidP="001A1178">
            <w:pPr>
              <w:spacing w:after="270" w:line="240" w:lineRule="auto"/>
              <w:jc w:val="both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0F6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E4A6D3A" w14:textId="77777777" w:rsidR="001A1178" w:rsidRPr="000F6AFE" w:rsidRDefault="001A1178" w:rsidP="001A1178">
            <w:pPr>
              <w:spacing w:after="270" w:line="240" w:lineRule="auto"/>
              <w:jc w:val="both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0F6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9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484D1CB7" w14:textId="77777777" w:rsidR="001A1178" w:rsidRPr="000F6AFE" w:rsidRDefault="001A1178" w:rsidP="001A1178">
            <w:pPr>
              <w:spacing w:after="270" w:line="240" w:lineRule="auto"/>
              <w:jc w:val="both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0F6AFE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 </w:t>
            </w:r>
          </w:p>
        </w:tc>
      </w:tr>
      <w:tr w:rsidR="001A1178" w:rsidRPr="000F6AFE" w14:paraId="7E109B7E" w14:textId="77777777" w:rsidTr="00FD33A7">
        <w:trPr>
          <w:trHeight w:val="228"/>
        </w:trPr>
        <w:tc>
          <w:tcPr>
            <w:tcW w:w="6663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0B580E51" w14:textId="77777777" w:rsidR="001A1178" w:rsidRPr="000F6AFE" w:rsidRDefault="001A1178" w:rsidP="001A1178">
            <w:pPr>
              <w:spacing w:after="270" w:line="240" w:lineRule="auto"/>
              <w:jc w:val="both"/>
              <w:rPr>
                <w:rFonts w:ascii="Arial" w:eastAsia="Times New Roman" w:hAnsi="Arial" w:cs="Arial"/>
                <w:b/>
                <w:bCs/>
                <w:color w:val="212721"/>
                <w:sz w:val="20"/>
                <w:szCs w:val="20"/>
                <w:lang w:eastAsia="en-GB"/>
              </w:rPr>
            </w:pPr>
            <w:r w:rsidRPr="000F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finnCap Ltd</w:t>
            </w:r>
          </w:p>
        </w:tc>
        <w:tc>
          <w:tcPr>
            <w:tcW w:w="329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4C29E3AF" w14:textId="77777777" w:rsidR="001A1178" w:rsidRPr="000F6AFE" w:rsidRDefault="001A1178" w:rsidP="001A1178">
            <w:pPr>
              <w:spacing w:after="270" w:line="240" w:lineRule="auto"/>
              <w:jc w:val="both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0F6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Tel: 020 7220 0500</w:t>
            </w:r>
          </w:p>
        </w:tc>
      </w:tr>
      <w:tr w:rsidR="001A1178" w:rsidRPr="000F6AFE" w14:paraId="69929926" w14:textId="77777777" w:rsidTr="00FD33A7">
        <w:trPr>
          <w:trHeight w:val="673"/>
        </w:trPr>
        <w:tc>
          <w:tcPr>
            <w:tcW w:w="6663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6211DDA9" w14:textId="77777777" w:rsidR="00B16353" w:rsidRPr="00B16353" w:rsidRDefault="00B16353" w:rsidP="00B16353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353">
              <w:rPr>
                <w:rFonts w:ascii="Arial" w:hAnsi="Arial" w:cs="Arial"/>
                <w:color w:val="000000"/>
                <w:sz w:val="20"/>
                <w:szCs w:val="20"/>
              </w:rPr>
              <w:t>Carl Holmes/Abigail Kelly/Milesh Hindocha (Corporate Finance)</w:t>
            </w:r>
          </w:p>
          <w:p w14:paraId="62717EA0" w14:textId="77777777" w:rsidR="00B16353" w:rsidRPr="00B16353" w:rsidRDefault="00B16353" w:rsidP="00B16353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353">
              <w:rPr>
                <w:rFonts w:ascii="Arial" w:hAnsi="Arial" w:cs="Arial"/>
                <w:color w:val="000000"/>
                <w:sz w:val="20"/>
                <w:szCs w:val="20"/>
              </w:rPr>
              <w:t>Tim Redfern / Charlotte Sutcliffe (ECM)</w:t>
            </w:r>
          </w:p>
          <w:p w14:paraId="14CDCB53" w14:textId="18DFF049" w:rsidR="001A1178" w:rsidRPr="000F6AFE" w:rsidRDefault="001A1178" w:rsidP="001A1178">
            <w:pPr>
              <w:spacing w:after="270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</w:tc>
        <w:tc>
          <w:tcPr>
            <w:tcW w:w="3297" w:type="dxa"/>
            <w:vAlign w:val="center"/>
            <w:hideMark/>
          </w:tcPr>
          <w:p w14:paraId="35FDEDA5" w14:textId="77777777" w:rsidR="001A1178" w:rsidRPr="000F6AFE" w:rsidRDefault="001A1178" w:rsidP="001A1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153B7D2" w14:textId="77777777" w:rsidR="0083527F" w:rsidRPr="006933A5" w:rsidRDefault="0083527F">
      <w:pPr>
        <w:rPr>
          <w:rFonts w:ascii="Arial" w:hAnsi="Arial" w:cs="Arial"/>
          <w:sz w:val="20"/>
          <w:szCs w:val="20"/>
        </w:rPr>
      </w:pPr>
    </w:p>
    <w:sectPr w:rsidR="0083527F" w:rsidRPr="00693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1A1178"/>
    <w:rsid w:val="00033C9C"/>
    <w:rsid w:val="00087779"/>
    <w:rsid w:val="000B7AC1"/>
    <w:rsid w:val="000F6AFE"/>
    <w:rsid w:val="00165C56"/>
    <w:rsid w:val="001A1178"/>
    <w:rsid w:val="001B0286"/>
    <w:rsid w:val="00227561"/>
    <w:rsid w:val="00243D09"/>
    <w:rsid w:val="002661C0"/>
    <w:rsid w:val="00311D0B"/>
    <w:rsid w:val="00321EF9"/>
    <w:rsid w:val="003D1E88"/>
    <w:rsid w:val="004603A6"/>
    <w:rsid w:val="00475231"/>
    <w:rsid w:val="004D4F86"/>
    <w:rsid w:val="004E7E04"/>
    <w:rsid w:val="005417EA"/>
    <w:rsid w:val="005E455F"/>
    <w:rsid w:val="00634586"/>
    <w:rsid w:val="00674225"/>
    <w:rsid w:val="006933A5"/>
    <w:rsid w:val="006974FC"/>
    <w:rsid w:val="006B3909"/>
    <w:rsid w:val="006C6454"/>
    <w:rsid w:val="007253FF"/>
    <w:rsid w:val="00761B78"/>
    <w:rsid w:val="00781B29"/>
    <w:rsid w:val="0078579D"/>
    <w:rsid w:val="007B2471"/>
    <w:rsid w:val="007C1438"/>
    <w:rsid w:val="007F3E1E"/>
    <w:rsid w:val="0083527F"/>
    <w:rsid w:val="00965BF1"/>
    <w:rsid w:val="009863A5"/>
    <w:rsid w:val="00A35AC5"/>
    <w:rsid w:val="00A947CC"/>
    <w:rsid w:val="00AA7707"/>
    <w:rsid w:val="00B16353"/>
    <w:rsid w:val="00B600AB"/>
    <w:rsid w:val="00BC0530"/>
    <w:rsid w:val="00C82026"/>
    <w:rsid w:val="00CA2D73"/>
    <w:rsid w:val="00CA7815"/>
    <w:rsid w:val="00CD2D88"/>
    <w:rsid w:val="00D136B5"/>
    <w:rsid w:val="00DB3D11"/>
    <w:rsid w:val="00DE7F0E"/>
    <w:rsid w:val="00E4105D"/>
    <w:rsid w:val="00E66DB1"/>
    <w:rsid w:val="00E86FBE"/>
    <w:rsid w:val="00EA5332"/>
    <w:rsid w:val="00F06790"/>
    <w:rsid w:val="00F07916"/>
    <w:rsid w:val="00F37734"/>
    <w:rsid w:val="00F46C07"/>
    <w:rsid w:val="00FA25CA"/>
    <w:rsid w:val="00F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377D"/>
  <w15:docId w15:val="{60759662-21BF-4326-83FF-2106EFAA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w">
    <w:name w:val="aw"/>
    <w:basedOn w:val="Normal"/>
    <w:rsid w:val="001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i">
    <w:name w:val="ai"/>
    <w:basedOn w:val="DefaultParagraphFont"/>
    <w:rsid w:val="001A1178"/>
  </w:style>
  <w:style w:type="paragraph" w:customStyle="1" w:styleId="jr">
    <w:name w:val="jr"/>
    <w:basedOn w:val="Normal"/>
    <w:rsid w:val="001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p">
    <w:name w:val="jp"/>
    <w:basedOn w:val="DefaultParagraphFont"/>
    <w:rsid w:val="001A1178"/>
  </w:style>
  <w:style w:type="paragraph" w:customStyle="1" w:styleId="js">
    <w:name w:val="js"/>
    <w:basedOn w:val="Normal"/>
    <w:rsid w:val="001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">
    <w:name w:val="a"/>
    <w:basedOn w:val="Normal"/>
    <w:rsid w:val="001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b">
    <w:name w:val="kb"/>
    <w:basedOn w:val="Normal"/>
    <w:rsid w:val="001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s">
    <w:name w:val="is"/>
    <w:basedOn w:val="DefaultParagraphFont"/>
    <w:rsid w:val="001A1178"/>
  </w:style>
  <w:style w:type="paragraph" w:customStyle="1" w:styleId="ju">
    <w:name w:val="ju"/>
    <w:basedOn w:val="Normal"/>
    <w:rsid w:val="001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k">
    <w:name w:val="jk"/>
    <w:basedOn w:val="DefaultParagraphFont"/>
    <w:rsid w:val="001A1178"/>
  </w:style>
  <w:style w:type="paragraph" w:customStyle="1" w:styleId="jt">
    <w:name w:val="jt"/>
    <w:basedOn w:val="Normal"/>
    <w:rsid w:val="001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A11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11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r">
    <w:name w:val="ar"/>
    <w:basedOn w:val="DefaultParagraphFont"/>
    <w:rsid w:val="001A1178"/>
  </w:style>
  <w:style w:type="character" w:styleId="UnresolvedMention">
    <w:name w:val="Unresolved Mention"/>
    <w:basedOn w:val="DefaultParagraphFont"/>
    <w:uiPriority w:val="99"/>
    <w:semiHidden/>
    <w:unhideWhenUsed/>
    <w:rsid w:val="001A11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3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1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nkeltoppinggroup.co.uk/" TargetMode="External"/><Relationship Id="rId4" Type="http://schemas.openxmlformats.org/officeDocument/2006/relationships/hyperlink" Target="http://www.frenkeltoppinggrou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Milesh Hindocha</dc:creator>
  <cp:keywords/>
  <dc:description/>
  <cp:lastModifiedBy>Paul Williams</cp:lastModifiedBy>
  <cp:revision>3</cp:revision>
  <dcterms:created xsi:type="dcterms:W3CDTF">2023-05-12T15:08:00Z</dcterms:created>
  <dcterms:modified xsi:type="dcterms:W3CDTF">2023-05-12T15:10:00Z</dcterms:modified>
</cp:coreProperties>
</file>