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C65E3" w14:textId="77777777" w:rsidR="00FD0A7F" w:rsidRPr="00822246" w:rsidRDefault="00FD0A7F" w:rsidP="00FD0A7F">
      <w:pPr>
        <w:pStyle w:val="bo"/>
        <w:spacing w:before="0" w:beforeAutospacing="0" w:after="270" w:afterAutospacing="0"/>
        <w:jc w:val="both"/>
        <w:rPr>
          <w:rFonts w:asciiTheme="minorHAnsi" w:eastAsiaTheme="minorHAnsi" w:hAnsiTheme="minorHAnsi" w:cstheme="minorBidi"/>
          <w:i/>
          <w:iCs/>
          <w:sz w:val="20"/>
          <w:szCs w:val="20"/>
          <w:lang w:eastAsia="en-US"/>
        </w:rPr>
      </w:pPr>
      <w:r w:rsidRPr="00822246">
        <w:rPr>
          <w:rFonts w:asciiTheme="minorHAnsi" w:eastAsiaTheme="minorHAnsi" w:hAnsiTheme="minorHAnsi" w:cstheme="minorBidi"/>
          <w:i/>
          <w:iCs/>
          <w:sz w:val="20"/>
          <w:szCs w:val="20"/>
          <w:lang w:eastAsia="en-US"/>
        </w:rPr>
        <w:t>The information contained within this announcement was deemed by the Company to constitute inside information as stipulated under the Market Abuse Regulations (EU) No. 596/2014 as it forms part of UK domestic law by virtue of the European Union (Withdrawal) Act 2018 as amended.  With the publication of this announcement via a Regulatory Information Service, this inside information is now considered to be in the public domain.</w:t>
      </w:r>
    </w:p>
    <w:p w14:paraId="2AAD9227" w14:textId="77777777" w:rsidR="00954ED2" w:rsidRPr="00502370" w:rsidRDefault="00954ED2" w:rsidP="00954ED2">
      <w:pPr>
        <w:pStyle w:val="bo"/>
        <w:spacing w:before="0" w:beforeAutospacing="0" w:after="270" w:afterAutospacing="0"/>
        <w:jc w:val="center"/>
        <w:rPr>
          <w:rStyle w:val="bm"/>
          <w:rFonts w:ascii="Calibri" w:hAnsi="Calibri" w:cs="Calibri"/>
          <w:b/>
          <w:bCs/>
          <w:color w:val="212721"/>
          <w:sz w:val="22"/>
          <w:szCs w:val="22"/>
        </w:rPr>
      </w:pPr>
      <w:r>
        <w:rPr>
          <w:rStyle w:val="bm"/>
          <w:rFonts w:ascii="Calibri" w:hAnsi="Calibri" w:cs="Calibri"/>
          <w:b/>
          <w:bCs/>
          <w:color w:val="212721"/>
          <w:sz w:val="22"/>
          <w:szCs w:val="22"/>
        </w:rPr>
        <w:t>Frenkel Topping Group plc</w:t>
      </w:r>
    </w:p>
    <w:p w14:paraId="5FCCB017" w14:textId="77777777" w:rsidR="00954ED2" w:rsidRPr="00502370" w:rsidRDefault="00954ED2" w:rsidP="00954ED2">
      <w:pPr>
        <w:pStyle w:val="bo"/>
        <w:spacing w:before="0" w:beforeAutospacing="0" w:after="270" w:afterAutospacing="0"/>
        <w:jc w:val="center"/>
        <w:rPr>
          <w:rStyle w:val="bm"/>
          <w:rFonts w:ascii="Calibri" w:hAnsi="Calibri" w:cs="Calibri"/>
          <w:b/>
          <w:bCs/>
          <w:color w:val="212721"/>
          <w:sz w:val="22"/>
          <w:szCs w:val="22"/>
        </w:rPr>
      </w:pPr>
      <w:r>
        <w:rPr>
          <w:rStyle w:val="bm"/>
          <w:rFonts w:ascii="Calibri" w:hAnsi="Calibri" w:cs="Calibri"/>
          <w:b/>
          <w:bCs/>
          <w:color w:val="212721"/>
          <w:sz w:val="22"/>
          <w:szCs w:val="22"/>
        </w:rPr>
        <w:t>("Frenkel Topping", the "Company" or the "Group") </w:t>
      </w:r>
    </w:p>
    <w:p w14:paraId="4A8C5EF6" w14:textId="7FBDA2C6" w:rsidR="00954ED2" w:rsidRPr="00502370" w:rsidRDefault="008B693D" w:rsidP="00954ED2">
      <w:pPr>
        <w:pStyle w:val="bp"/>
        <w:spacing w:before="0" w:beforeAutospacing="0" w:after="270" w:afterAutospacing="0"/>
        <w:jc w:val="center"/>
        <w:rPr>
          <w:rStyle w:val="bm"/>
          <w:rFonts w:ascii="Calibri" w:hAnsi="Calibri" w:cs="Calibri"/>
          <w:b/>
          <w:bCs/>
          <w:color w:val="212721"/>
          <w:sz w:val="22"/>
          <w:szCs w:val="22"/>
        </w:rPr>
      </w:pPr>
      <w:r>
        <w:rPr>
          <w:rStyle w:val="bm"/>
          <w:rFonts w:ascii="Calibri" w:hAnsi="Calibri" w:cs="Calibri"/>
          <w:b/>
          <w:bCs/>
          <w:color w:val="212721"/>
          <w:sz w:val="22"/>
          <w:szCs w:val="22"/>
        </w:rPr>
        <w:t xml:space="preserve">Pre-Close </w:t>
      </w:r>
      <w:r w:rsidR="00954ED2">
        <w:rPr>
          <w:rStyle w:val="bm"/>
          <w:rFonts w:ascii="Calibri" w:hAnsi="Calibri" w:cs="Calibri"/>
          <w:b/>
          <w:bCs/>
          <w:color w:val="212721"/>
          <w:sz w:val="22"/>
          <w:szCs w:val="22"/>
        </w:rPr>
        <w:t xml:space="preserve">Trading Update </w:t>
      </w:r>
      <w:r w:rsidR="003C0D6D">
        <w:rPr>
          <w:rStyle w:val="bm"/>
          <w:rFonts w:ascii="Calibri" w:hAnsi="Calibri" w:cs="Calibri"/>
          <w:b/>
          <w:bCs/>
          <w:color w:val="212721"/>
          <w:sz w:val="22"/>
          <w:szCs w:val="22"/>
        </w:rPr>
        <w:t>to 30</w:t>
      </w:r>
      <w:r w:rsidR="003C0D6D" w:rsidRPr="003C0D6D">
        <w:rPr>
          <w:rStyle w:val="bm"/>
          <w:rFonts w:ascii="Calibri" w:hAnsi="Calibri" w:cs="Calibri"/>
          <w:b/>
          <w:bCs/>
          <w:color w:val="212721"/>
          <w:sz w:val="22"/>
          <w:szCs w:val="22"/>
          <w:vertAlign w:val="superscript"/>
        </w:rPr>
        <w:t>th</w:t>
      </w:r>
      <w:r w:rsidR="003C0D6D">
        <w:rPr>
          <w:rStyle w:val="bm"/>
          <w:rFonts w:ascii="Calibri" w:hAnsi="Calibri" w:cs="Calibri"/>
          <w:b/>
          <w:bCs/>
          <w:color w:val="212721"/>
          <w:sz w:val="22"/>
          <w:szCs w:val="22"/>
        </w:rPr>
        <w:t xml:space="preserve"> June 2023</w:t>
      </w:r>
    </w:p>
    <w:p w14:paraId="4978D6A9" w14:textId="0A94C768" w:rsidR="00B0540E" w:rsidRPr="006C37B0" w:rsidRDefault="005F6455" w:rsidP="005D7FE2">
      <w:pPr>
        <w:jc w:val="both"/>
        <w:rPr>
          <w:rFonts w:cstheme="minorHAnsi"/>
        </w:rPr>
      </w:pPr>
      <w:r w:rsidRPr="005F6455">
        <w:t xml:space="preserve">Ahead of the announcement of its half-year results due on </w:t>
      </w:r>
      <w:r w:rsidR="00993261">
        <w:t>29 September</w:t>
      </w:r>
      <w:r w:rsidR="000A6E5A">
        <w:t xml:space="preserve"> 2023,</w:t>
      </w:r>
      <w:r w:rsidR="00993261">
        <w:t xml:space="preserve"> </w:t>
      </w:r>
      <w:r w:rsidR="00954ED2" w:rsidRPr="005F6455">
        <w:rPr>
          <w:rFonts w:cstheme="minorHAnsi"/>
        </w:rPr>
        <w:t xml:space="preserve">Frenkel </w:t>
      </w:r>
      <w:r w:rsidR="00954ED2" w:rsidRPr="006C37B0">
        <w:rPr>
          <w:rFonts w:cstheme="minorHAnsi"/>
        </w:rPr>
        <w:t xml:space="preserve">Topping (AIM: FEN), a specialist financial and professional services firm operating within the personal injury and clinical negligence marketplace, is pleased to provide the following </w:t>
      </w:r>
      <w:r w:rsidR="00FD0A7F" w:rsidRPr="006C37B0">
        <w:rPr>
          <w:rFonts w:cstheme="minorHAnsi"/>
        </w:rPr>
        <w:t>trading update</w:t>
      </w:r>
      <w:r w:rsidR="00954ED2" w:rsidRPr="006C37B0">
        <w:rPr>
          <w:rFonts w:cstheme="minorHAnsi"/>
        </w:rPr>
        <w:t xml:space="preserve"> for </w:t>
      </w:r>
      <w:r w:rsidR="003C0D6D">
        <w:rPr>
          <w:rFonts w:cstheme="minorHAnsi"/>
        </w:rPr>
        <w:t>the six month</w:t>
      </w:r>
      <w:r>
        <w:rPr>
          <w:rFonts w:cstheme="minorHAnsi"/>
        </w:rPr>
        <w:t xml:space="preserve"> period</w:t>
      </w:r>
      <w:r w:rsidR="003C0D6D">
        <w:rPr>
          <w:rFonts w:cstheme="minorHAnsi"/>
        </w:rPr>
        <w:t xml:space="preserve"> ended 30</w:t>
      </w:r>
      <w:r w:rsidRPr="005F6455">
        <w:rPr>
          <w:rFonts w:cstheme="minorHAnsi"/>
          <w:vertAlign w:val="superscript"/>
        </w:rPr>
        <w:t>th</w:t>
      </w:r>
      <w:r>
        <w:rPr>
          <w:rFonts w:cstheme="minorHAnsi"/>
        </w:rPr>
        <w:t xml:space="preserve"> </w:t>
      </w:r>
      <w:r w:rsidR="003C0D6D">
        <w:rPr>
          <w:rFonts w:cstheme="minorHAnsi"/>
        </w:rPr>
        <w:t>June 2023</w:t>
      </w:r>
      <w:r w:rsidR="00123EA5" w:rsidRPr="006C37B0">
        <w:rPr>
          <w:rFonts w:cstheme="minorHAnsi"/>
        </w:rPr>
        <w:t xml:space="preserve"> (“</w:t>
      </w:r>
      <w:r w:rsidR="003C0D6D">
        <w:rPr>
          <w:rFonts w:cstheme="minorHAnsi"/>
        </w:rPr>
        <w:t>HY</w:t>
      </w:r>
      <w:r w:rsidR="00123EA5" w:rsidRPr="006C37B0">
        <w:rPr>
          <w:rFonts w:cstheme="minorHAnsi"/>
        </w:rPr>
        <w:t>202</w:t>
      </w:r>
      <w:r w:rsidR="003C0D6D">
        <w:rPr>
          <w:rFonts w:cstheme="minorHAnsi"/>
        </w:rPr>
        <w:t>3</w:t>
      </w:r>
      <w:r w:rsidR="00123EA5" w:rsidRPr="006C37B0">
        <w:rPr>
          <w:rFonts w:cstheme="minorHAnsi"/>
        </w:rPr>
        <w:t>”)</w:t>
      </w:r>
      <w:r w:rsidR="00954ED2" w:rsidRPr="006C37B0">
        <w:rPr>
          <w:rFonts w:cstheme="minorHAnsi"/>
        </w:rPr>
        <w:t> and an outlook for the current financial year</w:t>
      </w:r>
      <w:r w:rsidR="009D5410">
        <w:rPr>
          <w:rFonts w:cstheme="minorHAnsi"/>
        </w:rPr>
        <w:t xml:space="preserve"> (“FY2023”)</w:t>
      </w:r>
      <w:r w:rsidR="00954ED2" w:rsidRPr="006C37B0">
        <w:rPr>
          <w:rFonts w:cstheme="minorHAnsi"/>
        </w:rPr>
        <w:t>.</w:t>
      </w:r>
    </w:p>
    <w:tbl>
      <w:tblPr>
        <w:tblW w:w="8529" w:type="dxa"/>
        <w:tblInd w:w="113"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3161"/>
        <w:gridCol w:w="1399"/>
        <w:gridCol w:w="1418"/>
        <w:gridCol w:w="1275"/>
        <w:gridCol w:w="1276"/>
      </w:tblGrid>
      <w:tr w:rsidR="00993261" w:rsidRPr="00993261" w14:paraId="0F801E67" w14:textId="77777777" w:rsidTr="003A62B9">
        <w:trPr>
          <w:trHeight w:val="722"/>
        </w:trPr>
        <w:tc>
          <w:tcPr>
            <w:tcW w:w="3161" w:type="dxa"/>
            <w:tcBorders>
              <w:bottom w:val="single" w:sz="4" w:space="0" w:color="000000"/>
              <w:right w:val="single" w:sz="4" w:space="0" w:color="000000"/>
            </w:tcBorders>
            <w:tcMar>
              <w:top w:w="8" w:type="dxa"/>
              <w:left w:w="108" w:type="dxa"/>
              <w:bottom w:w="8" w:type="dxa"/>
              <w:right w:w="108" w:type="dxa"/>
            </w:tcMar>
          </w:tcPr>
          <w:p w14:paraId="449C92B1" w14:textId="77777777" w:rsidR="00993261" w:rsidRPr="00993261" w:rsidRDefault="00993261" w:rsidP="00993261">
            <w:pPr>
              <w:spacing w:after="0" w:line="240" w:lineRule="auto"/>
              <w:rPr>
                <w:rFonts w:eastAsia="Arial" w:cstheme="minorHAnsi"/>
              </w:rPr>
            </w:pPr>
          </w:p>
        </w:tc>
        <w:tc>
          <w:tcPr>
            <w:tcW w:w="1399" w:type="dxa"/>
            <w:tcBorders>
              <w:left w:val="single" w:sz="4" w:space="0" w:color="000000"/>
              <w:bottom w:val="single" w:sz="4" w:space="0" w:color="000000"/>
              <w:right w:val="single" w:sz="4" w:space="0" w:color="000000"/>
            </w:tcBorders>
            <w:tcMar>
              <w:top w:w="8" w:type="dxa"/>
              <w:left w:w="108" w:type="dxa"/>
              <w:bottom w:w="8" w:type="dxa"/>
              <w:right w:w="108" w:type="dxa"/>
            </w:tcMar>
            <w:hideMark/>
          </w:tcPr>
          <w:p w14:paraId="45B45C5A" w14:textId="77777777" w:rsidR="00993261" w:rsidRPr="00993261" w:rsidRDefault="00993261" w:rsidP="00993261">
            <w:pPr>
              <w:spacing w:after="0" w:line="240" w:lineRule="auto"/>
              <w:rPr>
                <w:rFonts w:eastAsia="Arial" w:cstheme="minorHAnsi"/>
              </w:rPr>
            </w:pPr>
            <w:r w:rsidRPr="00993261">
              <w:rPr>
                <w:rFonts w:eastAsia="Arial" w:cstheme="minorHAnsi"/>
              </w:rPr>
              <w:t>H1 2023*</w:t>
            </w:r>
          </w:p>
          <w:p w14:paraId="3347D08C" w14:textId="77777777" w:rsidR="00993261" w:rsidRPr="00993261" w:rsidRDefault="00993261" w:rsidP="00993261">
            <w:pPr>
              <w:spacing w:after="0" w:line="240" w:lineRule="auto"/>
              <w:rPr>
                <w:rFonts w:eastAsia="Arial" w:cstheme="minorHAnsi"/>
              </w:rPr>
            </w:pPr>
            <w:r w:rsidRPr="00993261">
              <w:rPr>
                <w:rFonts w:eastAsia="Arial" w:cstheme="minorHAnsi"/>
              </w:rPr>
              <w:t>(£m)</w:t>
            </w:r>
          </w:p>
        </w:tc>
        <w:tc>
          <w:tcPr>
            <w:tcW w:w="1418" w:type="dxa"/>
            <w:tcBorders>
              <w:left w:val="single" w:sz="4" w:space="0" w:color="000000"/>
              <w:bottom w:val="single" w:sz="4" w:space="0" w:color="000000"/>
              <w:right w:val="single" w:sz="4" w:space="0" w:color="000000"/>
            </w:tcBorders>
          </w:tcPr>
          <w:p w14:paraId="65185B41" w14:textId="77777777" w:rsidR="00993261" w:rsidRPr="00993261" w:rsidRDefault="00993261" w:rsidP="00993261">
            <w:pPr>
              <w:spacing w:after="0" w:line="240" w:lineRule="auto"/>
              <w:rPr>
                <w:rFonts w:eastAsia="Arial" w:cstheme="minorHAnsi"/>
              </w:rPr>
            </w:pPr>
            <w:r w:rsidRPr="00993261">
              <w:rPr>
                <w:rFonts w:eastAsia="Arial" w:cstheme="minorHAnsi"/>
              </w:rPr>
              <w:t>H1 2022*</w:t>
            </w:r>
          </w:p>
          <w:p w14:paraId="7271C8FE" w14:textId="77777777" w:rsidR="00993261" w:rsidRPr="00993261" w:rsidRDefault="00993261" w:rsidP="00993261">
            <w:pPr>
              <w:spacing w:after="0" w:line="240" w:lineRule="auto"/>
              <w:rPr>
                <w:rFonts w:eastAsia="Arial" w:cstheme="minorHAnsi"/>
              </w:rPr>
            </w:pPr>
            <w:r w:rsidRPr="00993261">
              <w:rPr>
                <w:rFonts w:eastAsia="Arial" w:cstheme="minorHAnsi"/>
              </w:rPr>
              <w:t>(£m)</w:t>
            </w:r>
          </w:p>
        </w:tc>
        <w:tc>
          <w:tcPr>
            <w:tcW w:w="1275" w:type="dxa"/>
            <w:tcBorders>
              <w:left w:val="single" w:sz="4" w:space="0" w:color="000000"/>
              <w:bottom w:val="single" w:sz="4" w:space="0" w:color="000000"/>
            </w:tcBorders>
            <w:tcMar>
              <w:top w:w="8" w:type="dxa"/>
              <w:left w:w="108" w:type="dxa"/>
              <w:bottom w:w="8" w:type="dxa"/>
              <w:right w:w="108" w:type="dxa"/>
            </w:tcMar>
            <w:hideMark/>
          </w:tcPr>
          <w:p w14:paraId="1238A632" w14:textId="77777777" w:rsidR="00993261" w:rsidRPr="00993261" w:rsidRDefault="00993261" w:rsidP="00993261">
            <w:pPr>
              <w:spacing w:after="0" w:line="240" w:lineRule="auto"/>
              <w:rPr>
                <w:rFonts w:eastAsia="Arial" w:cstheme="minorHAnsi"/>
              </w:rPr>
            </w:pPr>
            <w:r w:rsidRPr="00993261">
              <w:rPr>
                <w:rFonts w:eastAsia="Arial" w:cstheme="minorHAnsi"/>
              </w:rPr>
              <w:t>% change</w:t>
            </w:r>
          </w:p>
        </w:tc>
        <w:tc>
          <w:tcPr>
            <w:tcW w:w="1276" w:type="dxa"/>
            <w:tcBorders>
              <w:left w:val="single" w:sz="4" w:space="0" w:color="000000"/>
              <w:bottom w:val="single" w:sz="4" w:space="0" w:color="000000"/>
            </w:tcBorders>
          </w:tcPr>
          <w:p w14:paraId="224C91A0" w14:textId="77777777" w:rsidR="00993261" w:rsidRPr="00993261" w:rsidRDefault="00993261" w:rsidP="00993261">
            <w:pPr>
              <w:spacing w:after="0" w:line="240" w:lineRule="auto"/>
              <w:rPr>
                <w:rFonts w:eastAsia="Arial" w:cstheme="minorHAnsi"/>
              </w:rPr>
            </w:pPr>
            <w:r w:rsidRPr="00993261">
              <w:rPr>
                <w:rFonts w:eastAsia="Arial" w:cstheme="minorHAnsi"/>
              </w:rPr>
              <w:t>FY2022</w:t>
            </w:r>
          </w:p>
          <w:p w14:paraId="6E7B6936" w14:textId="77777777" w:rsidR="00993261" w:rsidRPr="00993261" w:rsidRDefault="00993261" w:rsidP="00993261">
            <w:pPr>
              <w:spacing w:after="0" w:line="240" w:lineRule="auto"/>
              <w:rPr>
                <w:rFonts w:eastAsia="Arial" w:cstheme="minorHAnsi"/>
              </w:rPr>
            </w:pPr>
            <w:r w:rsidRPr="00993261">
              <w:rPr>
                <w:rFonts w:eastAsia="Arial" w:cstheme="minorHAnsi"/>
              </w:rPr>
              <w:t>Full year (£m)</w:t>
            </w:r>
          </w:p>
        </w:tc>
      </w:tr>
      <w:tr w:rsidR="00993261" w:rsidRPr="00993261" w14:paraId="6760DCB1" w14:textId="77777777" w:rsidTr="003A62B9">
        <w:trPr>
          <w:trHeight w:val="235"/>
        </w:trPr>
        <w:tc>
          <w:tcPr>
            <w:tcW w:w="3161"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411B0A8B" w14:textId="77777777" w:rsidR="00993261" w:rsidRPr="00993261" w:rsidRDefault="00993261" w:rsidP="00993261">
            <w:pPr>
              <w:spacing w:after="0" w:line="240" w:lineRule="auto"/>
              <w:rPr>
                <w:rFonts w:eastAsia="Arial" w:cstheme="minorHAnsi"/>
              </w:rPr>
            </w:pPr>
            <w:r w:rsidRPr="00993261">
              <w:rPr>
                <w:rFonts w:eastAsia="Arial" w:cstheme="minorHAnsi"/>
              </w:rPr>
              <w:t>Revenue</w:t>
            </w:r>
          </w:p>
        </w:tc>
        <w:tc>
          <w:tcPr>
            <w:tcW w:w="1399"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45704805" w14:textId="77777777" w:rsidR="00993261" w:rsidRPr="00993261" w:rsidRDefault="00993261" w:rsidP="00993261">
            <w:pPr>
              <w:spacing w:after="0" w:line="240" w:lineRule="auto"/>
              <w:rPr>
                <w:rFonts w:eastAsia="Arial" w:cstheme="minorHAnsi"/>
              </w:rPr>
            </w:pPr>
            <w:r w:rsidRPr="00993261">
              <w:rPr>
                <w:rFonts w:eastAsia="Arial" w:cstheme="minorHAnsi"/>
              </w:rPr>
              <w:t>16.0</w:t>
            </w:r>
          </w:p>
        </w:tc>
        <w:tc>
          <w:tcPr>
            <w:tcW w:w="1418" w:type="dxa"/>
            <w:tcBorders>
              <w:top w:val="single" w:sz="4" w:space="0" w:color="000000"/>
              <w:left w:val="single" w:sz="4" w:space="0" w:color="000000"/>
              <w:bottom w:val="single" w:sz="4" w:space="0" w:color="000000"/>
              <w:right w:val="single" w:sz="4" w:space="0" w:color="000000"/>
            </w:tcBorders>
          </w:tcPr>
          <w:p w14:paraId="7F87B344" w14:textId="77777777" w:rsidR="00993261" w:rsidRPr="00993261" w:rsidRDefault="00993261" w:rsidP="00993261">
            <w:pPr>
              <w:spacing w:after="0" w:line="240" w:lineRule="auto"/>
              <w:rPr>
                <w:rFonts w:eastAsia="Arial" w:cstheme="minorHAnsi"/>
              </w:rPr>
            </w:pPr>
            <w:r w:rsidRPr="00993261">
              <w:rPr>
                <w:rFonts w:eastAsia="Arial" w:cstheme="minorHAnsi"/>
              </w:rPr>
              <w:t>11.1</w:t>
            </w:r>
          </w:p>
        </w:tc>
        <w:tc>
          <w:tcPr>
            <w:tcW w:w="1275" w:type="dxa"/>
            <w:tcBorders>
              <w:top w:val="single" w:sz="4" w:space="0" w:color="000000"/>
              <w:left w:val="single" w:sz="4" w:space="0" w:color="000000"/>
              <w:bottom w:val="single" w:sz="4" w:space="0" w:color="000000"/>
            </w:tcBorders>
            <w:tcMar>
              <w:top w:w="8" w:type="dxa"/>
              <w:left w:w="108" w:type="dxa"/>
              <w:bottom w:w="8" w:type="dxa"/>
              <w:right w:w="108" w:type="dxa"/>
            </w:tcMar>
          </w:tcPr>
          <w:p w14:paraId="13F53489" w14:textId="77777777" w:rsidR="00993261" w:rsidRPr="00993261" w:rsidRDefault="00993261" w:rsidP="00993261">
            <w:pPr>
              <w:spacing w:after="0" w:line="240" w:lineRule="auto"/>
              <w:rPr>
                <w:rFonts w:eastAsia="Arial" w:cstheme="minorHAnsi"/>
              </w:rPr>
            </w:pPr>
            <w:r w:rsidRPr="00993261">
              <w:rPr>
                <w:rFonts w:eastAsia="Arial" w:cstheme="minorHAnsi"/>
              </w:rPr>
              <w:t>44%</w:t>
            </w:r>
          </w:p>
        </w:tc>
        <w:tc>
          <w:tcPr>
            <w:tcW w:w="1276" w:type="dxa"/>
            <w:tcBorders>
              <w:top w:val="single" w:sz="4" w:space="0" w:color="000000"/>
              <w:left w:val="single" w:sz="4" w:space="0" w:color="000000"/>
              <w:bottom w:val="single" w:sz="4" w:space="0" w:color="000000"/>
            </w:tcBorders>
          </w:tcPr>
          <w:p w14:paraId="40ED36EC" w14:textId="77777777" w:rsidR="00993261" w:rsidRPr="00993261" w:rsidRDefault="00993261" w:rsidP="00993261">
            <w:pPr>
              <w:spacing w:after="0" w:line="240" w:lineRule="auto"/>
              <w:rPr>
                <w:rFonts w:eastAsia="Arial" w:cstheme="minorHAnsi"/>
              </w:rPr>
            </w:pPr>
            <w:r w:rsidRPr="00993261">
              <w:rPr>
                <w:rFonts w:eastAsia="Arial" w:cstheme="minorHAnsi"/>
              </w:rPr>
              <w:t>24.8</w:t>
            </w:r>
          </w:p>
        </w:tc>
      </w:tr>
      <w:tr w:rsidR="00993261" w:rsidRPr="00993261" w14:paraId="37E1A246" w14:textId="77777777" w:rsidTr="003A62B9">
        <w:trPr>
          <w:trHeight w:val="235"/>
        </w:trPr>
        <w:tc>
          <w:tcPr>
            <w:tcW w:w="3161"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09FF4DCB" w14:textId="77777777" w:rsidR="00993261" w:rsidRPr="00993261" w:rsidRDefault="00993261" w:rsidP="00993261">
            <w:pPr>
              <w:spacing w:after="0" w:line="240" w:lineRule="auto"/>
              <w:rPr>
                <w:rFonts w:eastAsia="Arial" w:cstheme="minorHAnsi"/>
              </w:rPr>
            </w:pPr>
            <w:r w:rsidRPr="00993261">
              <w:rPr>
                <w:rFonts w:eastAsia="Arial" w:cstheme="minorHAnsi"/>
              </w:rPr>
              <w:t>Recurring revenue</w:t>
            </w:r>
          </w:p>
        </w:tc>
        <w:tc>
          <w:tcPr>
            <w:tcW w:w="1399"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22580FE8" w14:textId="77777777" w:rsidR="00993261" w:rsidRPr="00993261" w:rsidRDefault="00993261" w:rsidP="00993261">
            <w:pPr>
              <w:spacing w:after="0" w:line="240" w:lineRule="auto"/>
              <w:rPr>
                <w:rFonts w:eastAsia="Arial" w:cstheme="minorHAnsi"/>
              </w:rPr>
            </w:pPr>
            <w:r w:rsidRPr="00993261">
              <w:rPr>
                <w:rFonts w:eastAsia="Arial" w:cstheme="minorHAnsi"/>
              </w:rPr>
              <w:t>5.9</w:t>
            </w:r>
          </w:p>
        </w:tc>
        <w:tc>
          <w:tcPr>
            <w:tcW w:w="1418" w:type="dxa"/>
            <w:tcBorders>
              <w:top w:val="single" w:sz="4" w:space="0" w:color="000000"/>
              <w:left w:val="single" w:sz="4" w:space="0" w:color="000000"/>
              <w:bottom w:val="single" w:sz="4" w:space="0" w:color="000000"/>
              <w:right w:val="single" w:sz="4" w:space="0" w:color="000000"/>
            </w:tcBorders>
          </w:tcPr>
          <w:p w14:paraId="276702BC" w14:textId="77777777" w:rsidR="00993261" w:rsidRPr="00993261" w:rsidRDefault="00993261" w:rsidP="00993261">
            <w:pPr>
              <w:spacing w:after="0" w:line="240" w:lineRule="auto"/>
              <w:rPr>
                <w:rFonts w:eastAsia="Arial" w:cstheme="minorHAnsi"/>
              </w:rPr>
            </w:pPr>
            <w:r w:rsidRPr="00993261">
              <w:rPr>
                <w:rFonts w:eastAsia="Arial" w:cstheme="minorHAnsi"/>
              </w:rPr>
              <w:t>5.4</w:t>
            </w:r>
          </w:p>
        </w:tc>
        <w:tc>
          <w:tcPr>
            <w:tcW w:w="1275" w:type="dxa"/>
            <w:tcBorders>
              <w:top w:val="single" w:sz="4" w:space="0" w:color="000000"/>
              <w:left w:val="single" w:sz="4" w:space="0" w:color="000000"/>
              <w:bottom w:val="single" w:sz="4" w:space="0" w:color="000000"/>
            </w:tcBorders>
            <w:tcMar>
              <w:top w:w="8" w:type="dxa"/>
              <w:left w:w="108" w:type="dxa"/>
              <w:bottom w:w="8" w:type="dxa"/>
              <w:right w:w="108" w:type="dxa"/>
            </w:tcMar>
          </w:tcPr>
          <w:p w14:paraId="35E0BCC4" w14:textId="77777777" w:rsidR="00993261" w:rsidRPr="00993261" w:rsidRDefault="00993261" w:rsidP="00993261">
            <w:pPr>
              <w:spacing w:after="0" w:line="240" w:lineRule="auto"/>
              <w:rPr>
                <w:rFonts w:eastAsia="Arial" w:cstheme="minorHAnsi"/>
              </w:rPr>
            </w:pPr>
            <w:r w:rsidRPr="00993261">
              <w:rPr>
                <w:rFonts w:eastAsia="Arial" w:cstheme="minorHAnsi"/>
              </w:rPr>
              <w:t>9%</w:t>
            </w:r>
          </w:p>
        </w:tc>
        <w:tc>
          <w:tcPr>
            <w:tcW w:w="1276" w:type="dxa"/>
            <w:tcBorders>
              <w:top w:val="single" w:sz="4" w:space="0" w:color="000000"/>
              <w:left w:val="single" w:sz="4" w:space="0" w:color="000000"/>
              <w:bottom w:val="single" w:sz="4" w:space="0" w:color="000000"/>
            </w:tcBorders>
          </w:tcPr>
          <w:p w14:paraId="09B67636" w14:textId="74EB2580" w:rsidR="00993261" w:rsidRPr="00993261" w:rsidRDefault="002227D5" w:rsidP="00993261">
            <w:pPr>
              <w:spacing w:after="0" w:line="240" w:lineRule="auto"/>
              <w:rPr>
                <w:rFonts w:eastAsia="Arial" w:cstheme="minorHAnsi"/>
              </w:rPr>
            </w:pPr>
            <w:r>
              <w:rPr>
                <w:rFonts w:eastAsia="Arial" w:cstheme="minorHAnsi"/>
              </w:rPr>
              <w:t>11.0</w:t>
            </w:r>
          </w:p>
        </w:tc>
      </w:tr>
      <w:tr w:rsidR="00993261" w:rsidRPr="00993261" w14:paraId="3357BD89" w14:textId="77777777" w:rsidTr="003A62B9">
        <w:trPr>
          <w:trHeight w:val="235"/>
        </w:trPr>
        <w:tc>
          <w:tcPr>
            <w:tcW w:w="3161"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661B3B28" w14:textId="77777777" w:rsidR="00993261" w:rsidRPr="00993261" w:rsidRDefault="00993261" w:rsidP="00993261">
            <w:pPr>
              <w:spacing w:after="0" w:line="240" w:lineRule="auto"/>
              <w:rPr>
                <w:rFonts w:eastAsia="Arial" w:cstheme="minorHAnsi"/>
              </w:rPr>
            </w:pPr>
            <w:r w:rsidRPr="00993261">
              <w:rPr>
                <w:rFonts w:eastAsia="Arial" w:cstheme="minorHAnsi"/>
              </w:rPr>
              <w:t>Gross profit</w:t>
            </w:r>
          </w:p>
        </w:tc>
        <w:tc>
          <w:tcPr>
            <w:tcW w:w="1399"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3DB964AB" w14:textId="77777777" w:rsidR="00993261" w:rsidRPr="00993261" w:rsidRDefault="00993261" w:rsidP="00993261">
            <w:pPr>
              <w:spacing w:after="0" w:line="240" w:lineRule="auto"/>
              <w:rPr>
                <w:rFonts w:eastAsia="Arial" w:cstheme="minorHAnsi"/>
              </w:rPr>
            </w:pPr>
            <w:r w:rsidRPr="00993261">
              <w:rPr>
                <w:rFonts w:eastAsia="Arial" w:cstheme="minorHAnsi"/>
              </w:rPr>
              <w:t>6.6</w:t>
            </w:r>
          </w:p>
        </w:tc>
        <w:tc>
          <w:tcPr>
            <w:tcW w:w="1418" w:type="dxa"/>
            <w:tcBorders>
              <w:top w:val="single" w:sz="4" w:space="0" w:color="000000"/>
              <w:left w:val="single" w:sz="4" w:space="0" w:color="000000"/>
              <w:bottom w:val="single" w:sz="4" w:space="0" w:color="000000"/>
              <w:right w:val="single" w:sz="4" w:space="0" w:color="000000"/>
            </w:tcBorders>
          </w:tcPr>
          <w:p w14:paraId="0C57C69F" w14:textId="77777777" w:rsidR="00993261" w:rsidRPr="00993261" w:rsidRDefault="00993261" w:rsidP="00993261">
            <w:pPr>
              <w:spacing w:after="0" w:line="240" w:lineRule="auto"/>
              <w:rPr>
                <w:rFonts w:eastAsia="Arial" w:cstheme="minorHAnsi"/>
              </w:rPr>
            </w:pPr>
            <w:r w:rsidRPr="00993261">
              <w:rPr>
                <w:rFonts w:eastAsia="Arial" w:cstheme="minorHAnsi"/>
              </w:rPr>
              <w:t>5.0</w:t>
            </w:r>
          </w:p>
        </w:tc>
        <w:tc>
          <w:tcPr>
            <w:tcW w:w="1275" w:type="dxa"/>
            <w:tcBorders>
              <w:top w:val="single" w:sz="4" w:space="0" w:color="000000"/>
              <w:left w:val="single" w:sz="4" w:space="0" w:color="000000"/>
              <w:bottom w:val="single" w:sz="4" w:space="0" w:color="000000"/>
            </w:tcBorders>
            <w:tcMar>
              <w:top w:w="8" w:type="dxa"/>
              <w:left w:w="108" w:type="dxa"/>
              <w:bottom w:w="8" w:type="dxa"/>
              <w:right w:w="108" w:type="dxa"/>
            </w:tcMar>
          </w:tcPr>
          <w:p w14:paraId="1E6B74B7" w14:textId="77777777" w:rsidR="00993261" w:rsidRPr="00993261" w:rsidRDefault="00993261" w:rsidP="00993261">
            <w:pPr>
              <w:spacing w:after="0" w:line="240" w:lineRule="auto"/>
              <w:rPr>
                <w:rFonts w:eastAsia="Arial" w:cstheme="minorHAnsi"/>
              </w:rPr>
            </w:pPr>
            <w:r w:rsidRPr="00993261">
              <w:rPr>
                <w:rFonts w:eastAsia="Arial" w:cstheme="minorHAnsi"/>
              </w:rPr>
              <w:t>32%</w:t>
            </w:r>
          </w:p>
        </w:tc>
        <w:tc>
          <w:tcPr>
            <w:tcW w:w="1276" w:type="dxa"/>
            <w:tcBorders>
              <w:top w:val="single" w:sz="4" w:space="0" w:color="000000"/>
              <w:left w:val="single" w:sz="4" w:space="0" w:color="000000"/>
              <w:bottom w:val="single" w:sz="4" w:space="0" w:color="000000"/>
            </w:tcBorders>
          </w:tcPr>
          <w:p w14:paraId="1B6957BD" w14:textId="77777777" w:rsidR="00993261" w:rsidRPr="00993261" w:rsidRDefault="00993261" w:rsidP="00993261">
            <w:pPr>
              <w:spacing w:after="0" w:line="240" w:lineRule="auto"/>
              <w:rPr>
                <w:rFonts w:eastAsia="Arial" w:cstheme="minorHAnsi"/>
              </w:rPr>
            </w:pPr>
            <w:r w:rsidRPr="00993261">
              <w:rPr>
                <w:rFonts w:eastAsia="Arial" w:cstheme="minorHAnsi"/>
              </w:rPr>
              <w:t>11.1</w:t>
            </w:r>
          </w:p>
        </w:tc>
      </w:tr>
      <w:tr w:rsidR="00993261" w:rsidRPr="00993261" w14:paraId="38A82780" w14:textId="77777777" w:rsidTr="003A62B9">
        <w:trPr>
          <w:trHeight w:val="235"/>
        </w:trPr>
        <w:tc>
          <w:tcPr>
            <w:tcW w:w="3161"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480EFC5F" w14:textId="77777777" w:rsidR="00993261" w:rsidRPr="00993261" w:rsidRDefault="00993261" w:rsidP="00993261">
            <w:pPr>
              <w:spacing w:after="0" w:line="240" w:lineRule="auto"/>
              <w:rPr>
                <w:rFonts w:eastAsia="Arial" w:cstheme="minorHAnsi"/>
              </w:rPr>
            </w:pPr>
            <w:r w:rsidRPr="00993261">
              <w:rPr>
                <w:rFonts w:eastAsia="Arial" w:cstheme="minorHAnsi"/>
              </w:rPr>
              <w:t>EBITDA**</w:t>
            </w:r>
          </w:p>
        </w:tc>
        <w:tc>
          <w:tcPr>
            <w:tcW w:w="1399"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01F4ACEB" w14:textId="77777777" w:rsidR="00993261" w:rsidRPr="00993261" w:rsidRDefault="00993261" w:rsidP="00993261">
            <w:pPr>
              <w:spacing w:after="0" w:line="240" w:lineRule="auto"/>
              <w:rPr>
                <w:rFonts w:eastAsia="Arial" w:cstheme="minorHAnsi"/>
              </w:rPr>
            </w:pPr>
            <w:r w:rsidRPr="00993261">
              <w:rPr>
                <w:rFonts w:eastAsia="Arial" w:cstheme="minorHAnsi"/>
              </w:rPr>
              <w:t>3.5</w:t>
            </w:r>
          </w:p>
        </w:tc>
        <w:tc>
          <w:tcPr>
            <w:tcW w:w="1418" w:type="dxa"/>
            <w:tcBorders>
              <w:top w:val="single" w:sz="4" w:space="0" w:color="000000"/>
              <w:left w:val="single" w:sz="4" w:space="0" w:color="000000"/>
              <w:bottom w:val="single" w:sz="4" w:space="0" w:color="000000"/>
              <w:right w:val="single" w:sz="4" w:space="0" w:color="000000"/>
            </w:tcBorders>
          </w:tcPr>
          <w:p w14:paraId="229A7622" w14:textId="77777777" w:rsidR="00993261" w:rsidRPr="00993261" w:rsidRDefault="00993261" w:rsidP="00993261">
            <w:pPr>
              <w:spacing w:after="0" w:line="240" w:lineRule="auto"/>
              <w:rPr>
                <w:rFonts w:eastAsia="Arial" w:cstheme="minorHAnsi"/>
              </w:rPr>
            </w:pPr>
            <w:r w:rsidRPr="00993261">
              <w:rPr>
                <w:rFonts w:eastAsia="Arial" w:cstheme="minorHAnsi"/>
              </w:rPr>
              <w:t>2.7</w:t>
            </w:r>
          </w:p>
        </w:tc>
        <w:tc>
          <w:tcPr>
            <w:tcW w:w="1275" w:type="dxa"/>
            <w:tcBorders>
              <w:top w:val="single" w:sz="4" w:space="0" w:color="000000"/>
              <w:left w:val="single" w:sz="4" w:space="0" w:color="000000"/>
              <w:bottom w:val="single" w:sz="4" w:space="0" w:color="000000"/>
            </w:tcBorders>
            <w:tcMar>
              <w:top w:w="8" w:type="dxa"/>
              <w:left w:w="108" w:type="dxa"/>
              <w:bottom w:w="8" w:type="dxa"/>
              <w:right w:w="108" w:type="dxa"/>
            </w:tcMar>
          </w:tcPr>
          <w:p w14:paraId="1AB2CA20" w14:textId="77777777" w:rsidR="00993261" w:rsidRPr="00993261" w:rsidRDefault="00993261" w:rsidP="00993261">
            <w:pPr>
              <w:spacing w:after="0" w:line="240" w:lineRule="auto"/>
              <w:rPr>
                <w:rFonts w:eastAsia="Arial" w:cstheme="minorHAnsi"/>
              </w:rPr>
            </w:pPr>
            <w:r w:rsidRPr="00993261">
              <w:rPr>
                <w:rFonts w:eastAsia="Arial" w:cstheme="minorHAnsi"/>
              </w:rPr>
              <w:t>30%</w:t>
            </w:r>
          </w:p>
        </w:tc>
        <w:tc>
          <w:tcPr>
            <w:tcW w:w="1276" w:type="dxa"/>
            <w:tcBorders>
              <w:top w:val="single" w:sz="4" w:space="0" w:color="000000"/>
              <w:left w:val="single" w:sz="4" w:space="0" w:color="000000"/>
              <w:bottom w:val="single" w:sz="4" w:space="0" w:color="000000"/>
            </w:tcBorders>
          </w:tcPr>
          <w:p w14:paraId="5800FAF3" w14:textId="77777777" w:rsidR="00993261" w:rsidRPr="00993261" w:rsidRDefault="00993261" w:rsidP="00993261">
            <w:pPr>
              <w:spacing w:after="0" w:line="240" w:lineRule="auto"/>
              <w:rPr>
                <w:rFonts w:eastAsia="Arial" w:cstheme="minorHAnsi"/>
              </w:rPr>
            </w:pPr>
            <w:r w:rsidRPr="00993261">
              <w:rPr>
                <w:rFonts w:eastAsia="Arial" w:cstheme="minorHAnsi"/>
              </w:rPr>
              <w:t>6.1</w:t>
            </w:r>
          </w:p>
        </w:tc>
      </w:tr>
      <w:tr w:rsidR="00993261" w:rsidRPr="00993261" w14:paraId="3699B503" w14:textId="77777777" w:rsidTr="003A62B9">
        <w:trPr>
          <w:trHeight w:val="235"/>
        </w:trPr>
        <w:tc>
          <w:tcPr>
            <w:tcW w:w="3161" w:type="dxa"/>
            <w:tcBorders>
              <w:top w:val="single" w:sz="4" w:space="0" w:color="000000"/>
              <w:bottom w:val="single" w:sz="4" w:space="0" w:color="000000"/>
              <w:right w:val="single" w:sz="4" w:space="0" w:color="000000"/>
            </w:tcBorders>
            <w:tcMar>
              <w:top w:w="8" w:type="dxa"/>
              <w:left w:w="108" w:type="dxa"/>
              <w:bottom w:w="8" w:type="dxa"/>
              <w:right w:w="108" w:type="dxa"/>
            </w:tcMar>
          </w:tcPr>
          <w:p w14:paraId="26003092" w14:textId="77777777" w:rsidR="00993261" w:rsidRPr="00993261" w:rsidRDefault="00993261" w:rsidP="00993261">
            <w:pPr>
              <w:spacing w:after="0" w:line="240" w:lineRule="auto"/>
              <w:rPr>
                <w:rFonts w:eastAsia="Arial" w:cstheme="minorHAnsi"/>
              </w:rPr>
            </w:pPr>
            <w:r w:rsidRPr="00993261">
              <w:rPr>
                <w:rFonts w:eastAsia="Arial" w:cstheme="minorHAnsi"/>
              </w:rPr>
              <w:t>Profit attributable to shareholders</w:t>
            </w:r>
          </w:p>
        </w:tc>
        <w:tc>
          <w:tcPr>
            <w:tcW w:w="1399"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7054070F" w14:textId="77777777" w:rsidR="00993261" w:rsidRPr="00993261" w:rsidRDefault="00993261" w:rsidP="00993261">
            <w:pPr>
              <w:spacing w:after="0" w:line="240" w:lineRule="auto"/>
              <w:rPr>
                <w:rFonts w:eastAsia="Arial" w:cstheme="minorHAnsi"/>
              </w:rPr>
            </w:pPr>
            <w:r w:rsidRPr="00993261">
              <w:rPr>
                <w:rFonts w:eastAsia="Arial" w:cstheme="minorHAnsi"/>
              </w:rPr>
              <w:t>1.7</w:t>
            </w:r>
          </w:p>
        </w:tc>
        <w:tc>
          <w:tcPr>
            <w:tcW w:w="1418" w:type="dxa"/>
            <w:tcBorders>
              <w:top w:val="single" w:sz="4" w:space="0" w:color="000000"/>
              <w:left w:val="single" w:sz="4" w:space="0" w:color="000000"/>
              <w:bottom w:val="single" w:sz="4" w:space="0" w:color="000000"/>
              <w:right w:val="single" w:sz="4" w:space="0" w:color="000000"/>
            </w:tcBorders>
          </w:tcPr>
          <w:p w14:paraId="629FC93A" w14:textId="77777777" w:rsidR="00993261" w:rsidRPr="00993261" w:rsidRDefault="00993261" w:rsidP="00993261">
            <w:pPr>
              <w:spacing w:after="0" w:line="240" w:lineRule="auto"/>
              <w:rPr>
                <w:rFonts w:eastAsia="Arial" w:cstheme="minorHAnsi"/>
              </w:rPr>
            </w:pPr>
            <w:r w:rsidRPr="00993261">
              <w:rPr>
                <w:rFonts w:eastAsia="Arial" w:cstheme="minorHAnsi"/>
              </w:rPr>
              <w:t>0.9</w:t>
            </w:r>
          </w:p>
        </w:tc>
        <w:tc>
          <w:tcPr>
            <w:tcW w:w="1275" w:type="dxa"/>
            <w:tcBorders>
              <w:top w:val="single" w:sz="4" w:space="0" w:color="000000"/>
              <w:left w:val="single" w:sz="4" w:space="0" w:color="000000"/>
              <w:bottom w:val="single" w:sz="4" w:space="0" w:color="000000"/>
            </w:tcBorders>
            <w:tcMar>
              <w:top w:w="8" w:type="dxa"/>
              <w:left w:w="108" w:type="dxa"/>
              <w:bottom w:w="8" w:type="dxa"/>
              <w:right w:w="108" w:type="dxa"/>
            </w:tcMar>
          </w:tcPr>
          <w:p w14:paraId="26F79CCD" w14:textId="77777777" w:rsidR="00993261" w:rsidRPr="00993261" w:rsidRDefault="00993261" w:rsidP="00993261">
            <w:pPr>
              <w:spacing w:after="0" w:line="240" w:lineRule="auto"/>
              <w:rPr>
                <w:rFonts w:eastAsia="Arial" w:cstheme="minorHAnsi"/>
              </w:rPr>
            </w:pPr>
            <w:r w:rsidRPr="00993261">
              <w:rPr>
                <w:rFonts w:eastAsia="Arial" w:cstheme="minorHAnsi"/>
              </w:rPr>
              <w:t>89%</w:t>
            </w:r>
          </w:p>
        </w:tc>
        <w:tc>
          <w:tcPr>
            <w:tcW w:w="1276" w:type="dxa"/>
            <w:tcBorders>
              <w:top w:val="single" w:sz="4" w:space="0" w:color="000000"/>
              <w:left w:val="single" w:sz="4" w:space="0" w:color="000000"/>
              <w:bottom w:val="single" w:sz="4" w:space="0" w:color="000000"/>
            </w:tcBorders>
          </w:tcPr>
          <w:p w14:paraId="04471914" w14:textId="77777777" w:rsidR="00993261" w:rsidRPr="00993261" w:rsidRDefault="00993261" w:rsidP="00993261">
            <w:pPr>
              <w:spacing w:after="0" w:line="240" w:lineRule="auto"/>
              <w:rPr>
                <w:rFonts w:eastAsia="Arial" w:cstheme="minorHAnsi"/>
              </w:rPr>
            </w:pPr>
            <w:r w:rsidRPr="00993261">
              <w:rPr>
                <w:rFonts w:eastAsia="Arial" w:cstheme="minorHAnsi"/>
              </w:rPr>
              <w:t>1.7</w:t>
            </w:r>
          </w:p>
        </w:tc>
      </w:tr>
      <w:tr w:rsidR="00993261" w:rsidRPr="00993261" w14:paraId="6E94432F" w14:textId="77777777" w:rsidTr="003A62B9">
        <w:trPr>
          <w:trHeight w:val="471"/>
        </w:trPr>
        <w:tc>
          <w:tcPr>
            <w:tcW w:w="3161"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41C1F607" w14:textId="77777777" w:rsidR="00993261" w:rsidRPr="00993261" w:rsidRDefault="00993261" w:rsidP="00993261">
            <w:pPr>
              <w:spacing w:after="0" w:line="240" w:lineRule="auto"/>
              <w:rPr>
                <w:rFonts w:eastAsia="Arial" w:cstheme="minorHAnsi"/>
              </w:rPr>
            </w:pPr>
            <w:r w:rsidRPr="00993261">
              <w:rPr>
                <w:rFonts w:eastAsia="Arial" w:cstheme="minorHAnsi"/>
              </w:rPr>
              <w:t>EPS (basic)</w:t>
            </w:r>
          </w:p>
        </w:tc>
        <w:tc>
          <w:tcPr>
            <w:tcW w:w="1399"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49083E63" w14:textId="77777777" w:rsidR="00993261" w:rsidRPr="00993261" w:rsidRDefault="00993261" w:rsidP="00993261">
            <w:pPr>
              <w:spacing w:after="0" w:line="240" w:lineRule="auto"/>
              <w:rPr>
                <w:rFonts w:eastAsia="Arial" w:cstheme="minorHAnsi"/>
              </w:rPr>
            </w:pPr>
            <w:r w:rsidRPr="00993261">
              <w:rPr>
                <w:rFonts w:eastAsia="Arial" w:cstheme="minorHAnsi"/>
              </w:rPr>
              <w:t>1.4 pence</w:t>
            </w:r>
          </w:p>
        </w:tc>
        <w:tc>
          <w:tcPr>
            <w:tcW w:w="1418" w:type="dxa"/>
            <w:tcBorders>
              <w:top w:val="single" w:sz="4" w:space="0" w:color="000000"/>
              <w:left w:val="single" w:sz="4" w:space="0" w:color="000000"/>
              <w:bottom w:val="single" w:sz="4" w:space="0" w:color="000000"/>
              <w:right w:val="single" w:sz="4" w:space="0" w:color="000000"/>
            </w:tcBorders>
          </w:tcPr>
          <w:p w14:paraId="5C4E3F9E" w14:textId="77777777" w:rsidR="00993261" w:rsidRPr="00993261" w:rsidRDefault="00993261" w:rsidP="00993261">
            <w:pPr>
              <w:spacing w:after="0" w:line="240" w:lineRule="auto"/>
              <w:rPr>
                <w:rFonts w:eastAsia="Arial" w:cstheme="minorHAnsi"/>
              </w:rPr>
            </w:pPr>
            <w:r w:rsidRPr="00993261">
              <w:rPr>
                <w:rFonts w:eastAsia="Arial" w:cstheme="minorHAnsi"/>
              </w:rPr>
              <w:t>0.8 pence</w:t>
            </w:r>
          </w:p>
        </w:tc>
        <w:tc>
          <w:tcPr>
            <w:tcW w:w="1275" w:type="dxa"/>
            <w:tcBorders>
              <w:top w:val="single" w:sz="4" w:space="0" w:color="000000"/>
              <w:left w:val="single" w:sz="4" w:space="0" w:color="000000"/>
              <w:bottom w:val="single" w:sz="4" w:space="0" w:color="000000"/>
            </w:tcBorders>
            <w:tcMar>
              <w:top w:w="8" w:type="dxa"/>
              <w:left w:w="108" w:type="dxa"/>
              <w:bottom w:w="8" w:type="dxa"/>
              <w:right w:w="108" w:type="dxa"/>
            </w:tcMar>
          </w:tcPr>
          <w:p w14:paraId="40EB8091" w14:textId="77777777" w:rsidR="00993261" w:rsidRPr="00993261" w:rsidRDefault="00993261" w:rsidP="00993261">
            <w:pPr>
              <w:spacing w:after="0" w:line="240" w:lineRule="auto"/>
              <w:rPr>
                <w:rFonts w:eastAsia="Arial" w:cstheme="minorHAnsi"/>
              </w:rPr>
            </w:pPr>
            <w:r w:rsidRPr="00993261">
              <w:rPr>
                <w:rFonts w:eastAsia="Arial" w:cstheme="minorHAnsi"/>
              </w:rPr>
              <w:t>75%</w:t>
            </w:r>
          </w:p>
        </w:tc>
        <w:tc>
          <w:tcPr>
            <w:tcW w:w="1276" w:type="dxa"/>
            <w:tcBorders>
              <w:top w:val="single" w:sz="4" w:space="0" w:color="000000"/>
              <w:left w:val="single" w:sz="4" w:space="0" w:color="000000"/>
              <w:bottom w:val="single" w:sz="4" w:space="0" w:color="000000"/>
            </w:tcBorders>
          </w:tcPr>
          <w:p w14:paraId="25B0114B" w14:textId="77777777" w:rsidR="00993261" w:rsidRPr="00993261" w:rsidRDefault="00993261" w:rsidP="00993261">
            <w:pPr>
              <w:spacing w:after="0" w:line="240" w:lineRule="auto"/>
              <w:rPr>
                <w:rFonts w:eastAsia="Arial" w:cstheme="minorHAnsi"/>
              </w:rPr>
            </w:pPr>
            <w:r w:rsidRPr="00993261">
              <w:rPr>
                <w:rFonts w:eastAsia="Arial" w:cstheme="minorHAnsi"/>
              </w:rPr>
              <w:t>1.5 pence</w:t>
            </w:r>
          </w:p>
        </w:tc>
      </w:tr>
      <w:tr w:rsidR="00993261" w:rsidRPr="00993261" w14:paraId="1F563B48" w14:textId="77777777" w:rsidTr="003A62B9">
        <w:trPr>
          <w:trHeight w:val="471"/>
        </w:trPr>
        <w:tc>
          <w:tcPr>
            <w:tcW w:w="3161" w:type="dxa"/>
            <w:tcBorders>
              <w:top w:val="single" w:sz="4" w:space="0" w:color="000000"/>
              <w:bottom w:val="single" w:sz="4" w:space="0" w:color="000000"/>
              <w:right w:val="single" w:sz="4" w:space="0" w:color="000000"/>
            </w:tcBorders>
            <w:tcMar>
              <w:top w:w="8" w:type="dxa"/>
              <w:left w:w="108" w:type="dxa"/>
              <w:bottom w:w="8" w:type="dxa"/>
              <w:right w:w="108" w:type="dxa"/>
            </w:tcMar>
          </w:tcPr>
          <w:p w14:paraId="48E25337" w14:textId="77777777" w:rsidR="00993261" w:rsidRPr="00993261" w:rsidRDefault="00993261" w:rsidP="00993261">
            <w:pPr>
              <w:spacing w:after="0" w:line="240" w:lineRule="auto"/>
              <w:rPr>
                <w:rFonts w:eastAsia="Arial" w:cstheme="minorHAnsi"/>
              </w:rPr>
            </w:pPr>
            <w:r w:rsidRPr="00993261">
              <w:rPr>
                <w:rFonts w:eastAsia="Arial" w:cstheme="minorHAnsi"/>
              </w:rPr>
              <w:t>Cash generated from operating activities</w:t>
            </w:r>
          </w:p>
        </w:tc>
        <w:tc>
          <w:tcPr>
            <w:tcW w:w="1399"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14:paraId="2D9F499C" w14:textId="77777777" w:rsidR="00993261" w:rsidRPr="00993261" w:rsidRDefault="00993261" w:rsidP="00993261">
            <w:pPr>
              <w:spacing w:after="0" w:line="240" w:lineRule="auto"/>
              <w:rPr>
                <w:rFonts w:eastAsia="Arial" w:cstheme="minorHAnsi"/>
              </w:rPr>
            </w:pPr>
            <w:r w:rsidRPr="00993261">
              <w:rPr>
                <w:rFonts w:eastAsia="Arial" w:cstheme="minorHAnsi"/>
              </w:rPr>
              <w:t>1.5</w:t>
            </w:r>
          </w:p>
        </w:tc>
        <w:tc>
          <w:tcPr>
            <w:tcW w:w="1418" w:type="dxa"/>
            <w:tcBorders>
              <w:top w:val="single" w:sz="4" w:space="0" w:color="000000"/>
              <w:left w:val="single" w:sz="4" w:space="0" w:color="000000"/>
              <w:bottom w:val="single" w:sz="4" w:space="0" w:color="000000"/>
              <w:right w:val="single" w:sz="4" w:space="0" w:color="000000"/>
            </w:tcBorders>
          </w:tcPr>
          <w:p w14:paraId="52D7BD56" w14:textId="77777777" w:rsidR="00993261" w:rsidRPr="00993261" w:rsidRDefault="00993261" w:rsidP="00993261">
            <w:pPr>
              <w:spacing w:after="0" w:line="240" w:lineRule="auto"/>
              <w:rPr>
                <w:rFonts w:eastAsia="Arial" w:cstheme="minorHAnsi"/>
              </w:rPr>
            </w:pPr>
            <w:r w:rsidRPr="00993261">
              <w:rPr>
                <w:rFonts w:eastAsia="Arial" w:cstheme="minorHAnsi"/>
              </w:rPr>
              <w:t>0.6</w:t>
            </w:r>
          </w:p>
        </w:tc>
        <w:tc>
          <w:tcPr>
            <w:tcW w:w="1275" w:type="dxa"/>
            <w:tcBorders>
              <w:top w:val="single" w:sz="4" w:space="0" w:color="000000"/>
              <w:left w:val="single" w:sz="4" w:space="0" w:color="000000"/>
              <w:bottom w:val="single" w:sz="4" w:space="0" w:color="000000"/>
            </w:tcBorders>
            <w:tcMar>
              <w:top w:w="8" w:type="dxa"/>
              <w:left w:w="108" w:type="dxa"/>
              <w:bottom w:w="8" w:type="dxa"/>
              <w:right w:w="108" w:type="dxa"/>
            </w:tcMar>
          </w:tcPr>
          <w:p w14:paraId="39877A03" w14:textId="77777777" w:rsidR="00993261" w:rsidRPr="00993261" w:rsidRDefault="00993261" w:rsidP="00993261">
            <w:pPr>
              <w:spacing w:after="0" w:line="240" w:lineRule="auto"/>
              <w:rPr>
                <w:rFonts w:eastAsia="Arial" w:cstheme="minorHAnsi"/>
              </w:rPr>
            </w:pPr>
            <w:r w:rsidRPr="00993261">
              <w:rPr>
                <w:rFonts w:eastAsia="Arial" w:cstheme="minorHAnsi"/>
              </w:rPr>
              <w:t>150%</w:t>
            </w:r>
          </w:p>
        </w:tc>
        <w:tc>
          <w:tcPr>
            <w:tcW w:w="1276" w:type="dxa"/>
            <w:tcBorders>
              <w:top w:val="single" w:sz="4" w:space="0" w:color="000000"/>
              <w:left w:val="single" w:sz="4" w:space="0" w:color="000000"/>
              <w:bottom w:val="single" w:sz="4" w:space="0" w:color="000000"/>
            </w:tcBorders>
          </w:tcPr>
          <w:p w14:paraId="1D60A2E7" w14:textId="77777777" w:rsidR="00993261" w:rsidRPr="00993261" w:rsidRDefault="00993261" w:rsidP="00993261">
            <w:pPr>
              <w:spacing w:after="0" w:line="240" w:lineRule="auto"/>
              <w:rPr>
                <w:rFonts w:eastAsia="Arial" w:cstheme="minorHAnsi"/>
              </w:rPr>
            </w:pPr>
            <w:r w:rsidRPr="00993261">
              <w:rPr>
                <w:rFonts w:eastAsia="Arial" w:cstheme="minorHAnsi"/>
              </w:rPr>
              <w:t>0.7</w:t>
            </w:r>
          </w:p>
        </w:tc>
      </w:tr>
    </w:tbl>
    <w:p w14:paraId="41166E04" w14:textId="77777777" w:rsidR="00993261" w:rsidRPr="00993261" w:rsidRDefault="00993261" w:rsidP="00993261">
      <w:pPr>
        <w:spacing w:after="0" w:line="240" w:lineRule="auto"/>
        <w:rPr>
          <w:rFonts w:ascii="Arial" w:eastAsia="Arial" w:hAnsi="Arial" w:cs="Arial"/>
        </w:rPr>
      </w:pPr>
      <w:r w:rsidRPr="00993261">
        <w:rPr>
          <w:rFonts w:ascii="Arial" w:eastAsia="Arial" w:hAnsi="Arial" w:cs="Arial"/>
        </w:rPr>
        <w:t> </w:t>
      </w:r>
    </w:p>
    <w:p w14:paraId="7F08CC70" w14:textId="77777777" w:rsidR="00993261" w:rsidRPr="003353E0" w:rsidRDefault="00993261" w:rsidP="00993261">
      <w:pPr>
        <w:rPr>
          <w:sz w:val="18"/>
        </w:rPr>
      </w:pPr>
      <w:r w:rsidRPr="003353E0">
        <w:rPr>
          <w:rFonts w:ascii="Calibri" w:hAnsi="Calibri"/>
          <w:sz w:val="18"/>
        </w:rPr>
        <w:t>*Unaudited</w:t>
      </w:r>
    </w:p>
    <w:p w14:paraId="0F97D36F" w14:textId="77777777" w:rsidR="00993261" w:rsidRPr="003353E0" w:rsidRDefault="00993261" w:rsidP="00993261">
      <w:pPr>
        <w:rPr>
          <w:rFonts w:ascii="Calibri" w:hAnsi="Calibri"/>
          <w:sz w:val="18"/>
        </w:rPr>
      </w:pPr>
      <w:r w:rsidRPr="003353E0">
        <w:rPr>
          <w:rFonts w:ascii="Calibri" w:hAnsi="Calibri"/>
          <w:sz w:val="18"/>
        </w:rPr>
        <w:t xml:space="preserve">**EBITDA before </w:t>
      </w:r>
      <w:proofErr w:type="gramStart"/>
      <w:r w:rsidRPr="003353E0">
        <w:rPr>
          <w:rFonts w:ascii="Calibri" w:hAnsi="Calibri"/>
          <w:sz w:val="18"/>
        </w:rPr>
        <w:t>share</w:t>
      </w:r>
      <w:proofErr w:type="gramEnd"/>
      <w:r w:rsidRPr="003353E0">
        <w:rPr>
          <w:rFonts w:ascii="Calibri" w:hAnsi="Calibri"/>
          <w:sz w:val="18"/>
        </w:rPr>
        <w:t xml:space="preserve"> based compensation, acquisition strategy, integration and reorganisation costs</w:t>
      </w:r>
    </w:p>
    <w:p w14:paraId="19740865" w14:textId="05D2E347" w:rsidR="00A725C2" w:rsidRPr="006C37B0" w:rsidRDefault="00120ED7" w:rsidP="00A725C2">
      <w:pPr>
        <w:jc w:val="both"/>
        <w:rPr>
          <w:rFonts w:cstheme="minorHAnsi"/>
        </w:rPr>
      </w:pPr>
      <w:r w:rsidRPr="003C0D6D">
        <w:rPr>
          <w:rFonts w:cstheme="minorHAnsi"/>
        </w:rPr>
        <w:t>Assets Under Management ("AUM") has grown to £</w:t>
      </w:r>
      <w:r w:rsidR="003C0D6D" w:rsidRPr="003C0D6D">
        <w:rPr>
          <w:rFonts w:cstheme="minorHAnsi"/>
        </w:rPr>
        <w:t>1,261</w:t>
      </w:r>
      <w:r w:rsidRPr="003C0D6D">
        <w:rPr>
          <w:rFonts w:cstheme="minorHAnsi"/>
        </w:rPr>
        <w:t>m (</w:t>
      </w:r>
      <w:r w:rsidR="003C0D6D" w:rsidRPr="003C0D6D">
        <w:rPr>
          <w:rFonts w:cstheme="minorHAnsi"/>
        </w:rPr>
        <w:t>HY</w:t>
      </w:r>
      <w:r w:rsidRPr="003C0D6D">
        <w:rPr>
          <w:rFonts w:cstheme="minorHAnsi"/>
        </w:rPr>
        <w:t>202</w:t>
      </w:r>
      <w:r w:rsidR="003C0D6D" w:rsidRPr="003C0D6D">
        <w:rPr>
          <w:rFonts w:cstheme="minorHAnsi"/>
        </w:rPr>
        <w:t>2</w:t>
      </w:r>
      <w:r w:rsidRPr="003C0D6D">
        <w:rPr>
          <w:rFonts w:cstheme="minorHAnsi"/>
        </w:rPr>
        <w:t>: £1,1</w:t>
      </w:r>
      <w:r w:rsidR="003C0D6D" w:rsidRPr="003C0D6D">
        <w:rPr>
          <w:rFonts w:cstheme="minorHAnsi"/>
        </w:rPr>
        <w:t>55</w:t>
      </w:r>
      <w:r w:rsidRPr="003C0D6D">
        <w:rPr>
          <w:rFonts w:cstheme="minorHAnsi"/>
        </w:rPr>
        <w:t>m).</w:t>
      </w:r>
      <w:r w:rsidR="00A725C2">
        <w:rPr>
          <w:rFonts w:cstheme="minorHAnsi"/>
        </w:rPr>
        <w:t xml:space="preserve"> </w:t>
      </w:r>
      <w:r w:rsidR="00A725C2" w:rsidRPr="003C0D6D">
        <w:rPr>
          <w:rFonts w:cstheme="minorHAnsi"/>
        </w:rPr>
        <w:t>The Company is also pleased to again report its outstanding client retention rate</w:t>
      </w:r>
      <w:r w:rsidR="00713C8F">
        <w:rPr>
          <w:rFonts w:cstheme="minorHAnsi"/>
        </w:rPr>
        <w:t xml:space="preserve"> maintained</w:t>
      </w:r>
      <w:r w:rsidR="00A725C2" w:rsidRPr="003C0D6D">
        <w:rPr>
          <w:rFonts w:cstheme="minorHAnsi"/>
        </w:rPr>
        <w:t xml:space="preserve"> at 99%.</w:t>
      </w:r>
    </w:p>
    <w:p w14:paraId="32B9ABE2" w14:textId="7EB6BC96" w:rsidR="005D7FE2" w:rsidRPr="006C37B0" w:rsidRDefault="00CF4050" w:rsidP="005D7FE2">
      <w:pPr>
        <w:jc w:val="both"/>
        <w:rPr>
          <w:rFonts w:cstheme="minorHAnsi"/>
        </w:rPr>
      </w:pPr>
      <w:r>
        <w:rPr>
          <w:rFonts w:cstheme="minorHAnsi"/>
        </w:rPr>
        <w:t>T</w:t>
      </w:r>
      <w:r w:rsidR="005D7FE2" w:rsidRPr="006C37B0">
        <w:rPr>
          <w:rFonts w:cstheme="minorHAnsi"/>
        </w:rPr>
        <w:t>his</w:t>
      </w:r>
      <w:r w:rsidR="008858F2" w:rsidRPr="006C37B0">
        <w:rPr>
          <w:rFonts w:cstheme="minorHAnsi"/>
        </w:rPr>
        <w:t xml:space="preserve"> performance</w:t>
      </w:r>
      <w:r w:rsidR="005D7FE2" w:rsidRPr="006C37B0">
        <w:rPr>
          <w:rFonts w:cstheme="minorHAnsi"/>
        </w:rPr>
        <w:t xml:space="preserve"> demonstrates the </w:t>
      </w:r>
      <w:r w:rsidR="00872A5C">
        <w:rPr>
          <w:rFonts w:cstheme="minorHAnsi"/>
        </w:rPr>
        <w:t>C</w:t>
      </w:r>
      <w:r w:rsidR="006B11B8" w:rsidRPr="006C37B0">
        <w:rPr>
          <w:rFonts w:cstheme="minorHAnsi"/>
        </w:rPr>
        <w:t>ompany’s</w:t>
      </w:r>
      <w:r w:rsidR="005D7FE2" w:rsidRPr="006C37B0">
        <w:rPr>
          <w:rFonts w:cstheme="minorHAnsi"/>
        </w:rPr>
        <w:t xml:space="preserve"> </w:t>
      </w:r>
      <w:r w:rsidR="00713C8F">
        <w:rPr>
          <w:rFonts w:cstheme="minorHAnsi"/>
        </w:rPr>
        <w:t xml:space="preserve">continued </w:t>
      </w:r>
      <w:r w:rsidR="005D7FE2" w:rsidRPr="006C37B0">
        <w:rPr>
          <w:rFonts w:cstheme="minorHAnsi"/>
        </w:rPr>
        <w:t xml:space="preserve">resilience </w:t>
      </w:r>
      <w:r w:rsidR="006B11B8" w:rsidRPr="006C37B0">
        <w:rPr>
          <w:rFonts w:cstheme="minorHAnsi"/>
        </w:rPr>
        <w:t>in</w:t>
      </w:r>
      <w:r w:rsidR="005D7FE2" w:rsidRPr="006C37B0">
        <w:rPr>
          <w:rFonts w:cstheme="minorHAnsi"/>
        </w:rPr>
        <w:t xml:space="preserve"> a </w:t>
      </w:r>
      <w:r w:rsidR="006B11B8" w:rsidRPr="006C37B0">
        <w:rPr>
          <w:rFonts w:cstheme="minorHAnsi"/>
        </w:rPr>
        <w:t>challenging</w:t>
      </w:r>
      <w:r w:rsidR="005D7FE2" w:rsidRPr="006C37B0">
        <w:rPr>
          <w:rFonts w:cstheme="minorHAnsi"/>
        </w:rPr>
        <w:t xml:space="preserve"> </w:t>
      </w:r>
      <w:r w:rsidR="00123EA5" w:rsidRPr="006C37B0">
        <w:rPr>
          <w:rFonts w:cstheme="minorHAnsi"/>
        </w:rPr>
        <w:t xml:space="preserve">financial </w:t>
      </w:r>
      <w:r w:rsidR="005D7FE2" w:rsidRPr="006C37B0">
        <w:rPr>
          <w:rFonts w:cstheme="minorHAnsi"/>
        </w:rPr>
        <w:t>market</w:t>
      </w:r>
      <w:r w:rsidR="00822246" w:rsidRPr="006C37B0">
        <w:rPr>
          <w:rFonts w:cstheme="minorHAnsi"/>
        </w:rPr>
        <w:t>,</w:t>
      </w:r>
      <w:r w:rsidR="005D7FE2" w:rsidRPr="006C37B0">
        <w:rPr>
          <w:rFonts w:cstheme="minorHAnsi"/>
        </w:rPr>
        <w:t xml:space="preserve"> </w:t>
      </w:r>
      <w:r w:rsidR="00063CBD" w:rsidRPr="006C37B0">
        <w:rPr>
          <w:rFonts w:cstheme="minorHAnsi"/>
        </w:rPr>
        <w:t>as well as</w:t>
      </w:r>
      <w:r w:rsidR="008858F2" w:rsidRPr="006C37B0">
        <w:rPr>
          <w:rFonts w:cstheme="minorHAnsi"/>
        </w:rPr>
        <w:t xml:space="preserve"> the progress made</w:t>
      </w:r>
      <w:r w:rsidR="00063CBD" w:rsidRPr="006C37B0">
        <w:rPr>
          <w:rFonts w:cstheme="minorHAnsi"/>
        </w:rPr>
        <w:t xml:space="preserve"> by the Company</w:t>
      </w:r>
      <w:r w:rsidR="007840D0">
        <w:rPr>
          <w:rFonts w:cstheme="minorHAnsi"/>
        </w:rPr>
        <w:t xml:space="preserve"> in diversifying revenue streams</w:t>
      </w:r>
      <w:r w:rsidR="008858F2" w:rsidRPr="006C37B0">
        <w:rPr>
          <w:rFonts w:cstheme="minorHAnsi"/>
        </w:rPr>
        <w:t xml:space="preserve"> via its focused acquisition strategy</w:t>
      </w:r>
      <w:r w:rsidR="00123EA5" w:rsidRPr="006C37B0">
        <w:rPr>
          <w:rFonts w:cstheme="minorHAnsi"/>
        </w:rPr>
        <w:t xml:space="preserve"> and consolidation of the </w:t>
      </w:r>
      <w:r w:rsidR="00822246" w:rsidRPr="006C37B0">
        <w:rPr>
          <w:rFonts w:cstheme="minorHAnsi"/>
        </w:rPr>
        <w:t>P</w:t>
      </w:r>
      <w:r w:rsidR="00123EA5" w:rsidRPr="006C37B0">
        <w:rPr>
          <w:rFonts w:cstheme="minorHAnsi"/>
        </w:rPr>
        <w:t xml:space="preserve">ersonal </w:t>
      </w:r>
      <w:r w:rsidR="00822246" w:rsidRPr="006C37B0">
        <w:rPr>
          <w:rFonts w:cstheme="minorHAnsi"/>
        </w:rPr>
        <w:t>I</w:t>
      </w:r>
      <w:r w:rsidR="00123EA5" w:rsidRPr="006C37B0">
        <w:rPr>
          <w:rFonts w:cstheme="minorHAnsi"/>
        </w:rPr>
        <w:t>njury</w:t>
      </w:r>
      <w:r w:rsidR="00822246" w:rsidRPr="006C37B0">
        <w:rPr>
          <w:rFonts w:cstheme="minorHAnsi"/>
        </w:rPr>
        <w:t xml:space="preserve"> (PI)</w:t>
      </w:r>
      <w:r w:rsidR="00123EA5" w:rsidRPr="006C37B0">
        <w:rPr>
          <w:rFonts w:cstheme="minorHAnsi"/>
        </w:rPr>
        <w:t xml:space="preserve"> and </w:t>
      </w:r>
      <w:r w:rsidR="00822246" w:rsidRPr="006C37B0">
        <w:rPr>
          <w:rFonts w:cstheme="minorHAnsi"/>
        </w:rPr>
        <w:t>C</w:t>
      </w:r>
      <w:r w:rsidR="00123EA5" w:rsidRPr="006C37B0">
        <w:rPr>
          <w:rFonts w:cstheme="minorHAnsi"/>
        </w:rPr>
        <w:t xml:space="preserve">linical </w:t>
      </w:r>
      <w:r w:rsidR="00822246" w:rsidRPr="006C37B0">
        <w:rPr>
          <w:rFonts w:cstheme="minorHAnsi"/>
        </w:rPr>
        <w:t>N</w:t>
      </w:r>
      <w:r w:rsidR="00123EA5" w:rsidRPr="006C37B0">
        <w:rPr>
          <w:rFonts w:cstheme="minorHAnsi"/>
        </w:rPr>
        <w:t>egligence</w:t>
      </w:r>
      <w:r w:rsidR="00822246" w:rsidRPr="006C37B0">
        <w:rPr>
          <w:rFonts w:cstheme="minorHAnsi"/>
        </w:rPr>
        <w:t xml:space="preserve"> (CN)</w:t>
      </w:r>
      <w:r w:rsidR="00123EA5" w:rsidRPr="006C37B0">
        <w:rPr>
          <w:rFonts w:cstheme="minorHAnsi"/>
        </w:rPr>
        <w:t xml:space="preserve"> space</w:t>
      </w:r>
      <w:r w:rsidR="005D7FE2" w:rsidRPr="006C37B0">
        <w:rPr>
          <w:rFonts w:cstheme="minorHAnsi"/>
        </w:rPr>
        <w:t>.</w:t>
      </w:r>
    </w:p>
    <w:p w14:paraId="073E8D42" w14:textId="0AA83B43" w:rsidR="008F1E29" w:rsidRPr="003C0D6D" w:rsidRDefault="00E871CD" w:rsidP="005D7FE2">
      <w:pPr>
        <w:jc w:val="both"/>
        <w:rPr>
          <w:rFonts w:cstheme="minorHAnsi"/>
        </w:rPr>
      </w:pPr>
      <w:r w:rsidRPr="003C0D6D">
        <w:rPr>
          <w:rFonts w:cstheme="minorHAnsi"/>
        </w:rPr>
        <w:t>Of note is</w:t>
      </w:r>
      <w:r w:rsidR="00872A5C" w:rsidRPr="003C0D6D">
        <w:rPr>
          <w:rFonts w:cstheme="minorHAnsi"/>
        </w:rPr>
        <w:t xml:space="preserve"> the</w:t>
      </w:r>
      <w:r w:rsidRPr="003C0D6D">
        <w:rPr>
          <w:rFonts w:cstheme="minorHAnsi"/>
        </w:rPr>
        <w:t xml:space="preserve"> performance of the Group’s discretionary fund manager, Ascencia</w:t>
      </w:r>
      <w:r w:rsidR="00B2733F" w:rsidRPr="003C0D6D">
        <w:rPr>
          <w:rFonts w:cstheme="minorHAnsi"/>
        </w:rPr>
        <w:t xml:space="preserve"> Investment Management</w:t>
      </w:r>
      <w:r w:rsidR="00B1594B" w:rsidRPr="003C0D6D">
        <w:rPr>
          <w:rFonts w:cstheme="minorHAnsi"/>
        </w:rPr>
        <w:t xml:space="preserve"> (“Ascencia”)</w:t>
      </w:r>
      <w:r w:rsidRPr="003C0D6D">
        <w:rPr>
          <w:rFonts w:cstheme="minorHAnsi"/>
        </w:rPr>
        <w:t>, where</w:t>
      </w:r>
      <w:r w:rsidR="00FD0A7F" w:rsidRPr="003C0D6D">
        <w:rPr>
          <w:rFonts w:cstheme="minorHAnsi"/>
        </w:rPr>
        <w:t xml:space="preserve"> assets on a DFM Mandate increased to £</w:t>
      </w:r>
      <w:r w:rsidR="003C0D6D" w:rsidRPr="003C0D6D">
        <w:rPr>
          <w:rFonts w:cstheme="minorHAnsi"/>
        </w:rPr>
        <w:t>761</w:t>
      </w:r>
      <w:r w:rsidR="00FD0A7F" w:rsidRPr="003C0D6D">
        <w:rPr>
          <w:rFonts w:cstheme="minorHAnsi"/>
        </w:rPr>
        <w:t>m (</w:t>
      </w:r>
      <w:r w:rsidR="003C0D6D" w:rsidRPr="003C0D6D">
        <w:rPr>
          <w:rFonts w:cstheme="minorHAnsi"/>
        </w:rPr>
        <w:t>HY</w:t>
      </w:r>
      <w:r w:rsidR="00FD0A7F" w:rsidRPr="003C0D6D">
        <w:rPr>
          <w:rFonts w:cstheme="minorHAnsi"/>
        </w:rPr>
        <w:t>202</w:t>
      </w:r>
      <w:r w:rsidR="003C0D6D" w:rsidRPr="003C0D6D">
        <w:rPr>
          <w:rFonts w:cstheme="minorHAnsi"/>
        </w:rPr>
        <w:t>2</w:t>
      </w:r>
      <w:r w:rsidR="00FD0A7F" w:rsidRPr="003C0D6D">
        <w:rPr>
          <w:rFonts w:cstheme="minorHAnsi"/>
        </w:rPr>
        <w:t>: £</w:t>
      </w:r>
      <w:r w:rsidR="003C0D6D" w:rsidRPr="003C0D6D">
        <w:rPr>
          <w:rFonts w:cstheme="minorHAnsi"/>
        </w:rPr>
        <w:t>667</w:t>
      </w:r>
      <w:r w:rsidR="00FD0A7F" w:rsidRPr="003C0D6D">
        <w:rPr>
          <w:rFonts w:cstheme="minorHAnsi"/>
        </w:rPr>
        <w:t>m)</w:t>
      </w:r>
      <w:r w:rsidR="00872A5C" w:rsidRPr="003C0D6D">
        <w:rPr>
          <w:rFonts w:cstheme="minorHAnsi"/>
        </w:rPr>
        <w:t>.</w:t>
      </w:r>
      <w:r w:rsidRPr="003C0D6D">
        <w:rPr>
          <w:rFonts w:cstheme="minorHAnsi"/>
        </w:rPr>
        <w:t xml:space="preserve"> </w:t>
      </w:r>
      <w:r w:rsidR="008F1E29" w:rsidRPr="003C0D6D">
        <w:rPr>
          <w:rFonts w:cstheme="minorHAnsi"/>
        </w:rPr>
        <w:t xml:space="preserve"> </w:t>
      </w:r>
    </w:p>
    <w:p w14:paraId="46C95210" w14:textId="2E9EE4C8" w:rsidR="001B5021" w:rsidRPr="006C37B0" w:rsidRDefault="00713C8F" w:rsidP="001B5021">
      <w:pPr>
        <w:jc w:val="both"/>
        <w:rPr>
          <w:rFonts w:cstheme="minorHAnsi"/>
        </w:rPr>
      </w:pPr>
      <w:r>
        <w:rPr>
          <w:rFonts w:cstheme="minorHAnsi"/>
        </w:rPr>
        <w:t>As we saw in the previous financial year</w:t>
      </w:r>
      <w:r w:rsidR="008F1E29" w:rsidRPr="00A725C2">
        <w:rPr>
          <w:rFonts w:cstheme="minorHAnsi"/>
        </w:rPr>
        <w:t xml:space="preserve"> the Group’s recurring revenue has</w:t>
      </w:r>
      <w:r w:rsidR="004A4537">
        <w:rPr>
          <w:rFonts w:cstheme="minorHAnsi"/>
        </w:rPr>
        <w:t xml:space="preserve"> continued to</w:t>
      </w:r>
      <w:r w:rsidR="008F1E29" w:rsidRPr="00A725C2">
        <w:rPr>
          <w:rFonts w:cstheme="minorHAnsi"/>
        </w:rPr>
        <w:t xml:space="preserve"> be </w:t>
      </w:r>
      <w:r w:rsidR="002227D5">
        <w:rPr>
          <w:rFonts w:cstheme="minorHAnsi"/>
        </w:rPr>
        <w:t>supplemented</w:t>
      </w:r>
      <w:r w:rsidR="008F1E29" w:rsidRPr="00A725C2">
        <w:rPr>
          <w:rFonts w:cstheme="minorHAnsi"/>
        </w:rPr>
        <w:t xml:space="preserve"> by transactional revenue delivered by the Group’s businesses acquired during the last </w:t>
      </w:r>
      <w:r w:rsidR="008F1E29" w:rsidRPr="005F6455">
        <w:rPr>
          <w:rFonts w:cstheme="minorHAnsi"/>
        </w:rPr>
        <w:t>3 years</w:t>
      </w:r>
      <w:r w:rsidR="003A62B9">
        <w:rPr>
          <w:rFonts w:cstheme="minorHAnsi"/>
        </w:rPr>
        <w:t>,</w:t>
      </w:r>
      <w:r w:rsidR="005F6455" w:rsidRPr="005F6455">
        <w:rPr>
          <w:rFonts w:cstheme="minorHAnsi"/>
        </w:rPr>
        <w:t xml:space="preserve"> </w:t>
      </w:r>
      <w:r w:rsidR="005F6455" w:rsidRPr="005F6455">
        <w:t xml:space="preserve">underlining the success </w:t>
      </w:r>
      <w:r w:rsidR="007840D0" w:rsidRPr="005F6455">
        <w:rPr>
          <w:rFonts w:cstheme="minorHAnsi"/>
        </w:rPr>
        <w:t>of diversifying revenue streams</w:t>
      </w:r>
      <w:r w:rsidR="004A4537">
        <w:rPr>
          <w:rFonts w:cstheme="minorHAnsi"/>
        </w:rPr>
        <w:t>, seeing total revenues at £16m</w:t>
      </w:r>
      <w:r>
        <w:rPr>
          <w:rFonts w:cstheme="minorHAnsi"/>
        </w:rPr>
        <w:t>, but with a consequential change in margin profile</w:t>
      </w:r>
      <w:r w:rsidR="007840D0" w:rsidRPr="005F6455">
        <w:rPr>
          <w:rFonts w:cstheme="minorHAnsi"/>
        </w:rPr>
        <w:t>.</w:t>
      </w:r>
      <w:r w:rsidR="008F1E29" w:rsidRPr="005F6455">
        <w:rPr>
          <w:rFonts w:cstheme="minorHAnsi"/>
        </w:rPr>
        <w:t xml:space="preserve"> </w:t>
      </w:r>
    </w:p>
    <w:p w14:paraId="60D7C5A5" w14:textId="0DEDEAE4" w:rsidR="00FD0A7F" w:rsidRPr="006C37B0" w:rsidRDefault="004A4537" w:rsidP="00FD0A7F">
      <w:pPr>
        <w:pStyle w:val="bq"/>
        <w:spacing w:before="0" w:beforeAutospacing="0" w:after="270" w:afterAutospacing="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The Company’s group businesses have enjoy</w:t>
      </w:r>
      <w:r w:rsidR="00E00FF3">
        <w:rPr>
          <w:rFonts w:asciiTheme="minorHAnsi" w:eastAsiaTheme="minorHAnsi" w:hAnsiTheme="minorHAnsi" w:cstheme="minorHAnsi"/>
          <w:sz w:val="22"/>
          <w:szCs w:val="22"/>
          <w:lang w:eastAsia="en-US"/>
        </w:rPr>
        <w:t>ed</w:t>
      </w:r>
      <w:r>
        <w:rPr>
          <w:rFonts w:asciiTheme="minorHAnsi" w:eastAsiaTheme="minorHAnsi" w:hAnsiTheme="minorHAnsi" w:cstheme="minorHAnsi"/>
          <w:sz w:val="22"/>
          <w:szCs w:val="22"/>
          <w:lang w:eastAsia="en-US"/>
        </w:rPr>
        <w:t xml:space="preserve"> real momentum in the period with </w:t>
      </w:r>
      <w:r w:rsidR="00FD0A7F" w:rsidRPr="006C37B0">
        <w:rPr>
          <w:rFonts w:asciiTheme="minorHAnsi" w:eastAsiaTheme="minorHAnsi" w:hAnsiTheme="minorHAnsi" w:cstheme="minorHAnsi"/>
          <w:sz w:val="22"/>
          <w:szCs w:val="22"/>
          <w:lang w:eastAsia="en-US"/>
        </w:rPr>
        <w:t>Cardinal Management Limited</w:t>
      </w:r>
      <w:r w:rsidR="00E00FF3">
        <w:rPr>
          <w:rFonts w:asciiTheme="minorHAnsi" w:eastAsiaTheme="minorHAnsi" w:hAnsiTheme="minorHAnsi" w:cstheme="minorHAnsi"/>
          <w:sz w:val="22"/>
          <w:szCs w:val="22"/>
          <w:lang w:eastAsia="en-US"/>
        </w:rPr>
        <w:t xml:space="preserve"> (“Cardinal”) </w:t>
      </w:r>
      <w:r>
        <w:rPr>
          <w:rFonts w:asciiTheme="minorHAnsi" w:eastAsiaTheme="minorHAnsi" w:hAnsiTheme="minorHAnsi" w:cstheme="minorHAnsi"/>
          <w:sz w:val="22"/>
          <w:szCs w:val="22"/>
          <w:lang w:eastAsia="en-US"/>
        </w:rPr>
        <w:t>adding</w:t>
      </w:r>
      <w:r w:rsidR="003C0D6D">
        <w:rPr>
          <w:rFonts w:asciiTheme="minorHAnsi" w:eastAsiaTheme="minorHAnsi" w:hAnsiTheme="minorHAnsi" w:cstheme="minorHAnsi"/>
          <w:sz w:val="22"/>
          <w:szCs w:val="22"/>
          <w:lang w:eastAsia="en-US"/>
        </w:rPr>
        <w:t xml:space="preserve"> two new sites to its Major Trauma Centre portfolio in recent months </w:t>
      </w:r>
      <w:r>
        <w:rPr>
          <w:rFonts w:asciiTheme="minorHAnsi" w:eastAsiaTheme="minorHAnsi" w:hAnsiTheme="minorHAnsi" w:cstheme="minorHAnsi"/>
          <w:sz w:val="22"/>
          <w:szCs w:val="22"/>
          <w:lang w:eastAsia="en-US"/>
        </w:rPr>
        <w:t xml:space="preserve">through </w:t>
      </w:r>
      <w:r w:rsidRPr="00993261">
        <w:rPr>
          <w:rFonts w:asciiTheme="minorHAnsi" w:eastAsiaTheme="minorHAnsi" w:hAnsiTheme="minorHAnsi" w:cstheme="minorHAnsi"/>
          <w:sz w:val="22"/>
          <w:szCs w:val="22"/>
          <w:lang w:eastAsia="en-US"/>
        </w:rPr>
        <w:t>John Radcliffe Hospital, run by Oxford University Hospitals NHS Foundation Trust and Alder Hey Children's Hospital</w:t>
      </w:r>
      <w:r w:rsidR="00E00FF3" w:rsidRPr="00993261">
        <w:rPr>
          <w:rFonts w:asciiTheme="minorHAnsi" w:eastAsiaTheme="minorHAnsi" w:hAnsiTheme="minorHAnsi" w:cstheme="minorHAnsi"/>
          <w:sz w:val="22"/>
          <w:szCs w:val="22"/>
          <w:lang w:eastAsia="en-US"/>
        </w:rPr>
        <w:t xml:space="preserve"> </w:t>
      </w:r>
      <w:r w:rsidR="00E00FF3">
        <w:rPr>
          <w:rFonts w:asciiTheme="minorHAnsi" w:eastAsiaTheme="minorHAnsi" w:hAnsiTheme="minorHAnsi" w:cstheme="minorHAnsi"/>
          <w:sz w:val="22"/>
          <w:szCs w:val="22"/>
          <w:lang w:eastAsia="en-US"/>
        </w:rPr>
        <w:t>opting to join Cardinal after a competitive tender process</w:t>
      </w:r>
      <w:r w:rsidRPr="00993261">
        <w:rPr>
          <w:rFonts w:asciiTheme="minorHAnsi" w:eastAsiaTheme="minorHAnsi" w:hAnsiTheme="minorHAnsi" w:cstheme="minorHAnsi"/>
          <w:sz w:val="22"/>
          <w:szCs w:val="22"/>
          <w:lang w:eastAsia="en-US"/>
        </w:rPr>
        <w:t xml:space="preserve">. </w:t>
      </w:r>
    </w:p>
    <w:p w14:paraId="2CD9DB47" w14:textId="77777777" w:rsidR="005F6455" w:rsidRPr="005F6455" w:rsidRDefault="005F6455" w:rsidP="005F6455">
      <w:pPr>
        <w:jc w:val="both"/>
        <w:rPr>
          <w:rFonts w:cstheme="minorHAnsi"/>
          <w:b/>
          <w:bCs/>
          <w:u w:val="single"/>
        </w:rPr>
      </w:pPr>
      <w:r w:rsidRPr="005F6455">
        <w:rPr>
          <w:rFonts w:cstheme="minorHAnsi"/>
          <w:b/>
          <w:bCs/>
          <w:u w:val="single"/>
        </w:rPr>
        <w:lastRenderedPageBreak/>
        <w:t>Outlook</w:t>
      </w:r>
    </w:p>
    <w:p w14:paraId="3CBE0810" w14:textId="72CB7355" w:rsidR="005F6455" w:rsidRPr="005F6455" w:rsidRDefault="005F6455" w:rsidP="005F6455">
      <w:pPr>
        <w:pStyle w:val="bu"/>
        <w:spacing w:before="0" w:beforeAutospacing="0" w:after="270" w:afterAutospacing="0"/>
        <w:jc w:val="both"/>
        <w:rPr>
          <w:rFonts w:asciiTheme="minorHAnsi" w:eastAsiaTheme="minorHAnsi" w:hAnsiTheme="minorHAnsi" w:cstheme="minorHAnsi"/>
          <w:sz w:val="22"/>
          <w:szCs w:val="22"/>
          <w:lang w:eastAsia="en-US"/>
        </w:rPr>
      </w:pPr>
      <w:r w:rsidRPr="005F6455">
        <w:rPr>
          <w:rFonts w:asciiTheme="minorHAnsi" w:eastAsiaTheme="minorHAnsi" w:hAnsiTheme="minorHAnsi" w:cstheme="minorHAnsi"/>
          <w:sz w:val="22"/>
          <w:szCs w:val="22"/>
          <w:lang w:eastAsia="en-US"/>
        </w:rPr>
        <w:t xml:space="preserve">The business goes into the second half of the year </w:t>
      </w:r>
      <w:r w:rsidR="004A4537">
        <w:rPr>
          <w:rFonts w:asciiTheme="minorHAnsi" w:eastAsiaTheme="minorHAnsi" w:hAnsiTheme="minorHAnsi" w:cstheme="minorHAnsi"/>
          <w:sz w:val="22"/>
          <w:szCs w:val="22"/>
          <w:lang w:eastAsia="en-US"/>
        </w:rPr>
        <w:t>carrying</w:t>
      </w:r>
      <w:r w:rsidRPr="005F6455">
        <w:rPr>
          <w:rFonts w:asciiTheme="minorHAnsi" w:eastAsiaTheme="minorHAnsi" w:hAnsiTheme="minorHAnsi" w:cstheme="minorHAnsi"/>
          <w:sz w:val="22"/>
          <w:szCs w:val="22"/>
          <w:lang w:eastAsia="en-US"/>
        </w:rPr>
        <w:t xml:space="preserve"> real momentum</w:t>
      </w:r>
      <w:r w:rsidR="004A4537">
        <w:rPr>
          <w:rFonts w:asciiTheme="minorHAnsi" w:eastAsiaTheme="minorHAnsi" w:hAnsiTheme="minorHAnsi" w:cstheme="minorHAnsi"/>
          <w:sz w:val="22"/>
          <w:szCs w:val="22"/>
          <w:lang w:eastAsia="en-US"/>
        </w:rPr>
        <w:t xml:space="preserve"> from H1</w:t>
      </w:r>
      <w:r w:rsidR="003A62B9">
        <w:rPr>
          <w:rFonts w:asciiTheme="minorHAnsi" w:eastAsiaTheme="minorHAnsi" w:hAnsiTheme="minorHAnsi" w:cstheme="minorHAnsi"/>
          <w:sz w:val="22"/>
          <w:szCs w:val="22"/>
          <w:lang w:eastAsia="en-US"/>
        </w:rPr>
        <w:t xml:space="preserve">, benefiting from the diversification of </w:t>
      </w:r>
      <w:proofErr w:type="gramStart"/>
      <w:r w:rsidR="003A62B9">
        <w:rPr>
          <w:rFonts w:asciiTheme="minorHAnsi" w:eastAsiaTheme="minorHAnsi" w:hAnsiTheme="minorHAnsi" w:cstheme="minorHAnsi"/>
          <w:sz w:val="22"/>
          <w:szCs w:val="22"/>
          <w:lang w:eastAsia="en-US"/>
        </w:rPr>
        <w:t>revenue</w:t>
      </w:r>
      <w:proofErr w:type="gramEnd"/>
      <w:r w:rsidR="003A62B9">
        <w:rPr>
          <w:rFonts w:asciiTheme="minorHAnsi" w:eastAsiaTheme="minorHAnsi" w:hAnsiTheme="minorHAnsi" w:cstheme="minorHAnsi"/>
          <w:sz w:val="22"/>
          <w:szCs w:val="22"/>
          <w:lang w:eastAsia="en-US"/>
        </w:rPr>
        <w:t xml:space="preserve"> and encouraging growth in transactional revenue</w:t>
      </w:r>
      <w:r w:rsidRPr="005F6455">
        <w:rPr>
          <w:rFonts w:asciiTheme="minorHAnsi" w:eastAsiaTheme="minorHAnsi" w:hAnsiTheme="minorHAnsi" w:cstheme="minorHAnsi"/>
          <w:sz w:val="22"/>
          <w:szCs w:val="22"/>
          <w:lang w:eastAsia="en-US"/>
        </w:rPr>
        <w:t xml:space="preserve">. We do expect </w:t>
      </w:r>
      <w:r w:rsidR="003A62B9">
        <w:rPr>
          <w:rFonts w:asciiTheme="minorHAnsi" w:eastAsiaTheme="minorHAnsi" w:hAnsiTheme="minorHAnsi" w:cstheme="minorHAnsi"/>
          <w:sz w:val="22"/>
          <w:szCs w:val="22"/>
          <w:lang w:eastAsia="en-US"/>
        </w:rPr>
        <w:t>financial markets</w:t>
      </w:r>
      <w:r w:rsidRPr="005F6455">
        <w:rPr>
          <w:rFonts w:asciiTheme="minorHAnsi" w:eastAsiaTheme="minorHAnsi" w:hAnsiTheme="minorHAnsi" w:cstheme="minorHAnsi"/>
          <w:sz w:val="22"/>
          <w:szCs w:val="22"/>
          <w:lang w:eastAsia="en-US"/>
        </w:rPr>
        <w:t xml:space="preserve"> to remain challenging</w:t>
      </w:r>
      <w:r w:rsidR="00DC5212">
        <w:rPr>
          <w:rFonts w:asciiTheme="minorHAnsi" w:eastAsiaTheme="minorHAnsi" w:hAnsiTheme="minorHAnsi" w:cstheme="minorHAnsi"/>
          <w:sz w:val="22"/>
          <w:szCs w:val="22"/>
          <w:lang w:eastAsia="en-US"/>
        </w:rPr>
        <w:t>,</w:t>
      </w:r>
      <w:r w:rsidR="00E00FF3">
        <w:rPr>
          <w:rFonts w:asciiTheme="minorHAnsi" w:eastAsiaTheme="minorHAnsi" w:hAnsiTheme="minorHAnsi" w:cstheme="minorHAnsi"/>
          <w:sz w:val="22"/>
          <w:szCs w:val="22"/>
          <w:lang w:eastAsia="en-US"/>
        </w:rPr>
        <w:t xml:space="preserve"> which will continue to</w:t>
      </w:r>
      <w:r w:rsidR="004A4537">
        <w:rPr>
          <w:rFonts w:asciiTheme="minorHAnsi" w:eastAsiaTheme="minorHAnsi" w:hAnsiTheme="minorHAnsi" w:cstheme="minorHAnsi"/>
          <w:sz w:val="22"/>
          <w:szCs w:val="22"/>
          <w:lang w:eastAsia="en-US"/>
        </w:rPr>
        <w:t xml:space="preserve"> moderately impact AUM growth</w:t>
      </w:r>
      <w:r w:rsidR="003A62B9">
        <w:rPr>
          <w:rFonts w:asciiTheme="minorHAnsi" w:eastAsiaTheme="minorHAnsi" w:hAnsiTheme="minorHAnsi" w:cstheme="minorHAnsi"/>
          <w:sz w:val="22"/>
          <w:szCs w:val="22"/>
          <w:lang w:eastAsia="en-US"/>
        </w:rPr>
        <w:t xml:space="preserve"> and</w:t>
      </w:r>
      <w:r w:rsidR="004A4537">
        <w:rPr>
          <w:rFonts w:asciiTheme="minorHAnsi" w:eastAsiaTheme="minorHAnsi" w:hAnsiTheme="minorHAnsi" w:cstheme="minorHAnsi"/>
          <w:sz w:val="22"/>
          <w:szCs w:val="22"/>
          <w:lang w:eastAsia="en-US"/>
        </w:rPr>
        <w:t xml:space="preserve"> the Company’s recurring revenue</w:t>
      </w:r>
      <w:r w:rsidR="003A62B9">
        <w:rPr>
          <w:rFonts w:asciiTheme="minorHAnsi" w:eastAsiaTheme="minorHAnsi" w:hAnsiTheme="minorHAnsi" w:cstheme="minorHAnsi"/>
          <w:sz w:val="22"/>
          <w:szCs w:val="22"/>
          <w:lang w:eastAsia="en-US"/>
        </w:rPr>
        <w:t xml:space="preserve"> generated from this</w:t>
      </w:r>
      <w:r w:rsidRPr="005F6455">
        <w:rPr>
          <w:rFonts w:asciiTheme="minorHAnsi" w:eastAsiaTheme="minorHAnsi" w:hAnsiTheme="minorHAnsi" w:cstheme="minorHAnsi"/>
          <w:sz w:val="22"/>
          <w:szCs w:val="22"/>
          <w:lang w:eastAsia="en-US"/>
        </w:rPr>
        <w:t>.</w:t>
      </w:r>
      <w:r w:rsidR="00E00FF3">
        <w:rPr>
          <w:rFonts w:asciiTheme="minorHAnsi" w:eastAsiaTheme="minorHAnsi" w:hAnsiTheme="minorHAnsi" w:cstheme="minorHAnsi"/>
          <w:sz w:val="22"/>
          <w:szCs w:val="22"/>
          <w:lang w:eastAsia="en-US"/>
        </w:rPr>
        <w:t xml:space="preserve"> However, the Board maintains confidence in the full year outturn and its expectation for the year</w:t>
      </w:r>
      <w:r w:rsidR="00DC5212">
        <w:rPr>
          <w:rFonts w:asciiTheme="minorHAnsi" w:eastAsiaTheme="minorHAnsi" w:hAnsiTheme="minorHAnsi" w:cstheme="minorHAnsi"/>
          <w:sz w:val="22"/>
          <w:szCs w:val="22"/>
          <w:lang w:eastAsia="en-US"/>
        </w:rPr>
        <w:t xml:space="preserve"> which are tracking in line with management</w:t>
      </w:r>
      <w:r w:rsidR="003A62B9">
        <w:rPr>
          <w:rFonts w:asciiTheme="minorHAnsi" w:eastAsiaTheme="minorHAnsi" w:hAnsiTheme="minorHAnsi" w:cstheme="minorHAnsi"/>
          <w:sz w:val="22"/>
          <w:szCs w:val="22"/>
          <w:lang w:eastAsia="en-US"/>
        </w:rPr>
        <w:t>’s</w:t>
      </w:r>
      <w:r w:rsidR="00DC5212">
        <w:rPr>
          <w:rFonts w:asciiTheme="minorHAnsi" w:eastAsiaTheme="minorHAnsi" w:hAnsiTheme="minorHAnsi" w:cstheme="minorHAnsi"/>
          <w:sz w:val="22"/>
          <w:szCs w:val="22"/>
          <w:lang w:eastAsia="en-US"/>
        </w:rPr>
        <w:t xml:space="preserve"> expectation</w:t>
      </w:r>
      <w:r w:rsidR="00E00FF3">
        <w:rPr>
          <w:rFonts w:asciiTheme="minorHAnsi" w:eastAsiaTheme="minorHAnsi" w:hAnsiTheme="minorHAnsi" w:cstheme="minorHAnsi"/>
          <w:sz w:val="22"/>
          <w:szCs w:val="22"/>
          <w:lang w:eastAsia="en-US"/>
        </w:rPr>
        <w:t>.</w:t>
      </w:r>
      <w:r w:rsidRPr="005F6455">
        <w:rPr>
          <w:rFonts w:asciiTheme="minorHAnsi" w:eastAsiaTheme="minorHAnsi" w:hAnsiTheme="minorHAnsi" w:cstheme="minorHAnsi"/>
          <w:sz w:val="22"/>
          <w:szCs w:val="22"/>
          <w:lang w:eastAsia="en-US"/>
        </w:rPr>
        <w:t xml:space="preserve"> </w:t>
      </w:r>
    </w:p>
    <w:p w14:paraId="33EDD731" w14:textId="49275F69" w:rsidR="00954ED2" w:rsidRPr="006C37B0" w:rsidRDefault="00954ED2" w:rsidP="00954ED2">
      <w:pPr>
        <w:pStyle w:val="bu"/>
        <w:spacing w:before="0" w:beforeAutospacing="0" w:after="270" w:afterAutospacing="0"/>
        <w:jc w:val="both"/>
        <w:rPr>
          <w:rFonts w:asciiTheme="minorHAnsi" w:hAnsiTheme="minorHAnsi" w:cstheme="minorHAnsi"/>
          <w:b/>
          <w:bCs/>
          <w:color w:val="212721"/>
          <w:sz w:val="22"/>
          <w:szCs w:val="22"/>
          <w:u w:val="single"/>
        </w:rPr>
      </w:pPr>
      <w:r w:rsidRPr="006C37B0">
        <w:rPr>
          <w:rFonts w:asciiTheme="minorHAnsi" w:hAnsiTheme="minorHAnsi" w:cstheme="minorHAnsi"/>
          <w:b/>
          <w:bCs/>
          <w:color w:val="212721"/>
          <w:sz w:val="22"/>
          <w:szCs w:val="22"/>
          <w:u w:val="single"/>
        </w:rPr>
        <w:t xml:space="preserve">Notice of </w:t>
      </w:r>
      <w:r w:rsidR="00822246" w:rsidRPr="006C37B0">
        <w:rPr>
          <w:rFonts w:asciiTheme="minorHAnsi" w:hAnsiTheme="minorHAnsi" w:cstheme="minorHAnsi"/>
          <w:b/>
          <w:bCs/>
          <w:color w:val="212721"/>
          <w:sz w:val="22"/>
          <w:szCs w:val="22"/>
          <w:u w:val="single"/>
        </w:rPr>
        <w:t>r</w:t>
      </w:r>
      <w:r w:rsidRPr="006C37B0">
        <w:rPr>
          <w:rFonts w:asciiTheme="minorHAnsi" w:hAnsiTheme="minorHAnsi" w:cstheme="minorHAnsi"/>
          <w:b/>
          <w:bCs/>
          <w:color w:val="212721"/>
          <w:sz w:val="22"/>
          <w:szCs w:val="22"/>
          <w:u w:val="single"/>
        </w:rPr>
        <w:t>esults</w:t>
      </w:r>
      <w:r w:rsidR="00822246" w:rsidRPr="006C37B0">
        <w:rPr>
          <w:rFonts w:asciiTheme="minorHAnsi" w:hAnsiTheme="minorHAnsi" w:cstheme="minorHAnsi"/>
          <w:b/>
          <w:bCs/>
          <w:color w:val="212721"/>
          <w:sz w:val="22"/>
          <w:szCs w:val="22"/>
          <w:u w:val="single"/>
        </w:rPr>
        <w:t xml:space="preserve"> and update on strategy </w:t>
      </w:r>
    </w:p>
    <w:p w14:paraId="366B0A90" w14:textId="34BB82EA" w:rsidR="00954ED2" w:rsidRPr="006C37B0" w:rsidRDefault="008858F2" w:rsidP="00954ED2">
      <w:pPr>
        <w:pStyle w:val="bs"/>
        <w:spacing w:before="0" w:beforeAutospacing="0" w:after="270" w:afterAutospacing="0"/>
        <w:jc w:val="both"/>
        <w:rPr>
          <w:rFonts w:asciiTheme="minorHAnsi" w:hAnsiTheme="minorHAnsi" w:cstheme="minorHAnsi"/>
          <w:color w:val="212721"/>
          <w:sz w:val="22"/>
          <w:szCs w:val="22"/>
        </w:rPr>
      </w:pPr>
      <w:r w:rsidRPr="006C37B0">
        <w:rPr>
          <w:rStyle w:val="bm"/>
          <w:rFonts w:asciiTheme="minorHAnsi" w:hAnsiTheme="minorHAnsi" w:cstheme="minorHAnsi"/>
          <w:color w:val="212721"/>
          <w:sz w:val="22"/>
          <w:szCs w:val="22"/>
        </w:rPr>
        <w:t>Final</w:t>
      </w:r>
      <w:r w:rsidR="00222B93">
        <w:rPr>
          <w:rStyle w:val="bm"/>
          <w:rFonts w:asciiTheme="minorHAnsi" w:hAnsiTheme="minorHAnsi" w:cstheme="minorHAnsi"/>
          <w:color w:val="212721"/>
          <w:sz w:val="22"/>
          <w:szCs w:val="22"/>
        </w:rPr>
        <w:t>, unaudited</w:t>
      </w:r>
      <w:r w:rsidRPr="006C37B0">
        <w:rPr>
          <w:rStyle w:val="bm"/>
          <w:rFonts w:asciiTheme="minorHAnsi" w:hAnsiTheme="minorHAnsi" w:cstheme="minorHAnsi"/>
          <w:color w:val="212721"/>
          <w:sz w:val="22"/>
          <w:szCs w:val="22"/>
        </w:rPr>
        <w:t xml:space="preserve"> results for the </w:t>
      </w:r>
      <w:r w:rsidR="003C0D6D">
        <w:rPr>
          <w:rStyle w:val="bm"/>
          <w:rFonts w:asciiTheme="minorHAnsi" w:hAnsiTheme="minorHAnsi" w:cstheme="minorHAnsi"/>
          <w:color w:val="212721"/>
          <w:sz w:val="22"/>
          <w:szCs w:val="22"/>
        </w:rPr>
        <w:t>six months ended 30</w:t>
      </w:r>
      <w:r w:rsidR="003C0D6D" w:rsidRPr="003C0D6D">
        <w:rPr>
          <w:rStyle w:val="bm"/>
          <w:rFonts w:asciiTheme="minorHAnsi" w:hAnsiTheme="minorHAnsi" w:cstheme="minorHAnsi"/>
          <w:color w:val="212721"/>
          <w:sz w:val="22"/>
          <w:szCs w:val="22"/>
          <w:vertAlign w:val="superscript"/>
        </w:rPr>
        <w:t>th</w:t>
      </w:r>
      <w:r w:rsidR="003C0D6D">
        <w:rPr>
          <w:rStyle w:val="bm"/>
          <w:rFonts w:asciiTheme="minorHAnsi" w:hAnsiTheme="minorHAnsi" w:cstheme="minorHAnsi"/>
          <w:color w:val="212721"/>
          <w:sz w:val="22"/>
          <w:szCs w:val="22"/>
        </w:rPr>
        <w:t xml:space="preserve"> June 2023</w:t>
      </w:r>
      <w:r w:rsidRPr="006C37B0">
        <w:rPr>
          <w:rStyle w:val="bm"/>
          <w:rFonts w:asciiTheme="minorHAnsi" w:hAnsiTheme="minorHAnsi" w:cstheme="minorHAnsi"/>
          <w:color w:val="212721"/>
          <w:sz w:val="22"/>
          <w:szCs w:val="22"/>
        </w:rPr>
        <w:t xml:space="preserve"> </w:t>
      </w:r>
      <w:r w:rsidR="00954ED2" w:rsidRPr="006C37B0">
        <w:rPr>
          <w:rStyle w:val="bm"/>
          <w:rFonts w:asciiTheme="minorHAnsi" w:hAnsiTheme="minorHAnsi" w:cstheme="minorHAnsi"/>
          <w:color w:val="212721"/>
          <w:sz w:val="22"/>
          <w:szCs w:val="22"/>
        </w:rPr>
        <w:t xml:space="preserve">are expected to be announced on </w:t>
      </w:r>
      <w:r w:rsidR="00993261">
        <w:rPr>
          <w:rStyle w:val="bm"/>
          <w:rFonts w:asciiTheme="minorHAnsi" w:hAnsiTheme="minorHAnsi" w:cstheme="minorHAnsi"/>
          <w:color w:val="212721"/>
          <w:sz w:val="22"/>
          <w:szCs w:val="22"/>
        </w:rPr>
        <w:t>29 September</w:t>
      </w:r>
      <w:r w:rsidR="00954ED2" w:rsidRPr="006C37B0">
        <w:rPr>
          <w:rStyle w:val="bm"/>
          <w:rFonts w:asciiTheme="minorHAnsi" w:hAnsiTheme="minorHAnsi" w:cstheme="minorHAnsi"/>
          <w:color w:val="212721"/>
          <w:sz w:val="22"/>
          <w:szCs w:val="22"/>
        </w:rPr>
        <w:t xml:space="preserve"> 2023. </w:t>
      </w:r>
    </w:p>
    <w:p w14:paraId="3E04CB3E" w14:textId="49A2DDE1" w:rsidR="00B1594B" w:rsidRPr="00242F0A" w:rsidRDefault="00B1594B" w:rsidP="00242F0A">
      <w:pPr>
        <w:rPr>
          <w:i/>
          <w:iCs/>
          <w:color w:val="FF0000"/>
        </w:rPr>
      </w:pPr>
      <w:r w:rsidRPr="006C37B0">
        <w:rPr>
          <w:rFonts w:cstheme="minorHAnsi"/>
          <w:i/>
          <w:iCs/>
        </w:rPr>
        <w:t xml:space="preserve">* The financial </w:t>
      </w:r>
      <w:r w:rsidRPr="00694C82">
        <w:rPr>
          <w:rFonts w:cstheme="minorHAnsi"/>
          <w:i/>
          <w:iCs/>
        </w:rPr>
        <w:t>expectations noted above are preliminary</w:t>
      </w:r>
      <w:r w:rsidR="003C0D6D">
        <w:rPr>
          <w:rFonts w:cstheme="minorHAnsi"/>
          <w:i/>
          <w:iCs/>
        </w:rPr>
        <w:t>.</w:t>
      </w:r>
      <w:r w:rsidR="00694C82" w:rsidRPr="00694C82">
        <w:rPr>
          <w:rFonts w:cstheme="minorHAnsi"/>
          <w:i/>
          <w:iCs/>
        </w:rPr>
        <w:t xml:space="preserve"> </w:t>
      </w:r>
      <w:r w:rsidR="00694C82" w:rsidRPr="00242F0A">
        <w:rPr>
          <w:i/>
          <w:iCs/>
        </w:rPr>
        <w:t xml:space="preserve">Adj. EBITDA defined as before </w:t>
      </w:r>
      <w:proofErr w:type="gramStart"/>
      <w:r w:rsidR="00694C82" w:rsidRPr="00242F0A">
        <w:rPr>
          <w:i/>
          <w:iCs/>
        </w:rPr>
        <w:t>share</w:t>
      </w:r>
      <w:proofErr w:type="gramEnd"/>
      <w:r w:rsidR="00694C82" w:rsidRPr="00242F0A">
        <w:rPr>
          <w:i/>
          <w:iCs/>
        </w:rPr>
        <w:t xml:space="preserve"> based compensation, </w:t>
      </w:r>
      <w:r w:rsidR="003C0D6D">
        <w:rPr>
          <w:i/>
          <w:iCs/>
        </w:rPr>
        <w:t>acquisition</w:t>
      </w:r>
      <w:r w:rsidR="00993261">
        <w:rPr>
          <w:i/>
          <w:iCs/>
        </w:rPr>
        <w:t>,</w:t>
      </w:r>
      <w:r w:rsidR="003C0D6D">
        <w:rPr>
          <w:i/>
          <w:iCs/>
        </w:rPr>
        <w:t xml:space="preserve"> integration</w:t>
      </w:r>
      <w:r w:rsidR="00694C82" w:rsidRPr="00242F0A">
        <w:rPr>
          <w:i/>
          <w:iCs/>
        </w:rPr>
        <w:t xml:space="preserve"> and re-organisation costs.</w:t>
      </w:r>
    </w:p>
    <w:p w14:paraId="4C218792" w14:textId="77777777" w:rsidR="00101A7C" w:rsidRPr="006C37B0" w:rsidRDefault="00101A7C" w:rsidP="00954ED2">
      <w:pPr>
        <w:spacing w:after="270" w:line="240" w:lineRule="auto"/>
        <w:rPr>
          <w:rFonts w:eastAsia="Times New Roman" w:cstheme="minorHAnsi"/>
          <w:b/>
          <w:bCs/>
          <w:color w:val="212721"/>
          <w:lang w:eastAsia="en-GB"/>
        </w:rPr>
      </w:pPr>
    </w:p>
    <w:p w14:paraId="3D5AB924" w14:textId="77777777" w:rsidR="00954ED2" w:rsidRPr="006C37B0" w:rsidRDefault="00954ED2" w:rsidP="00954ED2">
      <w:pPr>
        <w:spacing w:after="270" w:line="240" w:lineRule="auto"/>
        <w:rPr>
          <w:rFonts w:eastAsia="Times New Roman" w:cstheme="minorHAnsi"/>
          <w:color w:val="212721"/>
          <w:lang w:eastAsia="en-GB"/>
        </w:rPr>
      </w:pPr>
      <w:r w:rsidRPr="006C37B0">
        <w:rPr>
          <w:rFonts w:eastAsia="Times New Roman" w:cstheme="minorHAnsi"/>
          <w:b/>
          <w:bCs/>
          <w:color w:val="212721"/>
          <w:lang w:eastAsia="en-GB"/>
        </w:rPr>
        <w:t>For further information: </w:t>
      </w:r>
      <w:r w:rsidRPr="006C37B0">
        <w:rPr>
          <w:rFonts w:eastAsia="Times New Roman" w:cstheme="minorHAnsi"/>
          <w:color w:val="212721"/>
          <w:lang w:eastAsia="en-GB"/>
        </w:rPr>
        <w:t> </w:t>
      </w:r>
      <w:r w:rsidRPr="006C37B0">
        <w:rPr>
          <w:rFonts w:eastAsia="Times New Roman" w:cstheme="minorHAnsi"/>
          <w:b/>
          <w:bCs/>
          <w:color w:val="212721"/>
          <w:lang w:eastAsia="en-GB"/>
        </w:rPr>
        <w:t> </w:t>
      </w:r>
      <w:r w:rsidRPr="006C37B0">
        <w:rPr>
          <w:rFonts w:eastAsia="Times New Roman" w:cstheme="minorHAnsi"/>
          <w:color w:val="212721"/>
          <w:lang w:eastAsia="en-GB"/>
        </w:rPr>
        <w:t> </w:t>
      </w:r>
      <w:r w:rsidRPr="006C37B0">
        <w:rPr>
          <w:rFonts w:eastAsia="Times New Roman" w:cstheme="minorHAnsi"/>
          <w:color w:val="212721"/>
          <w:shd w:val="clear" w:color="auto" w:fill="FEFEFE"/>
          <w:lang w:eastAsia="en-GB"/>
        </w:rPr>
        <w:t> </w:t>
      </w:r>
    </w:p>
    <w:tbl>
      <w:tblPr>
        <w:tblW w:w="9960" w:type="dxa"/>
        <w:tblInd w:w="-123" w:type="dxa"/>
        <w:tblCellMar>
          <w:left w:w="0" w:type="dxa"/>
          <w:right w:w="0" w:type="dxa"/>
        </w:tblCellMar>
        <w:tblLook w:val="04A0" w:firstRow="1" w:lastRow="0" w:firstColumn="1" w:lastColumn="0" w:noHBand="0" w:noVBand="1"/>
      </w:tblPr>
      <w:tblGrid>
        <w:gridCol w:w="6007"/>
        <w:gridCol w:w="3953"/>
      </w:tblGrid>
      <w:tr w:rsidR="00954ED2" w:rsidRPr="006C37B0" w14:paraId="67509E86" w14:textId="77777777" w:rsidTr="003C0D6D">
        <w:trPr>
          <w:trHeight w:val="228"/>
        </w:trPr>
        <w:tc>
          <w:tcPr>
            <w:tcW w:w="6007" w:type="dxa"/>
            <w:tcMar>
              <w:top w:w="10" w:type="dxa"/>
              <w:left w:w="118" w:type="dxa"/>
              <w:bottom w:w="10" w:type="dxa"/>
              <w:right w:w="118" w:type="dxa"/>
            </w:tcMar>
            <w:hideMark/>
          </w:tcPr>
          <w:p w14:paraId="5C7D7065" w14:textId="77777777" w:rsidR="00954ED2" w:rsidRPr="006C37B0" w:rsidRDefault="00954ED2" w:rsidP="00954ED2">
            <w:pPr>
              <w:spacing w:after="270" w:line="240" w:lineRule="auto"/>
              <w:jc w:val="both"/>
              <w:rPr>
                <w:rFonts w:eastAsia="Times New Roman" w:cstheme="minorHAnsi"/>
                <w:color w:val="212721"/>
                <w:lang w:eastAsia="en-GB"/>
              </w:rPr>
            </w:pPr>
            <w:r w:rsidRPr="006C37B0">
              <w:rPr>
                <w:rFonts w:eastAsia="Times New Roman" w:cstheme="minorHAnsi"/>
                <w:b/>
                <w:bCs/>
                <w:color w:val="000000"/>
                <w:lang w:eastAsia="en-GB"/>
              </w:rPr>
              <w:t>Frenkel Topping Group plc</w:t>
            </w:r>
          </w:p>
        </w:tc>
        <w:tc>
          <w:tcPr>
            <w:tcW w:w="3953" w:type="dxa"/>
            <w:tcMar>
              <w:top w:w="10" w:type="dxa"/>
              <w:left w:w="118" w:type="dxa"/>
              <w:bottom w:w="10" w:type="dxa"/>
              <w:right w:w="118" w:type="dxa"/>
            </w:tcMar>
            <w:hideMark/>
          </w:tcPr>
          <w:p w14:paraId="534DB61F" w14:textId="77777777" w:rsidR="00954ED2" w:rsidRPr="006C37B0" w:rsidRDefault="00230F8C" w:rsidP="00954ED2">
            <w:pPr>
              <w:spacing w:after="270" w:line="240" w:lineRule="auto"/>
              <w:jc w:val="both"/>
              <w:rPr>
                <w:rFonts w:eastAsia="Times New Roman" w:cstheme="minorHAnsi"/>
                <w:color w:val="212721"/>
                <w:lang w:eastAsia="en-GB"/>
              </w:rPr>
            </w:pPr>
            <w:hyperlink r:id="rId8" w:history="1">
              <w:r w:rsidR="00954ED2" w:rsidRPr="006C37B0">
                <w:rPr>
                  <w:rFonts w:eastAsia="Times New Roman" w:cstheme="minorHAnsi"/>
                  <w:color w:val="212721"/>
                  <w:u w:val="single"/>
                  <w:lang w:eastAsia="en-GB"/>
                </w:rPr>
                <w:t>www.frenkeltoppinggroup.co.uk</w:t>
              </w:r>
            </w:hyperlink>
          </w:p>
        </w:tc>
      </w:tr>
      <w:tr w:rsidR="00954ED2" w:rsidRPr="006C37B0" w14:paraId="489490F6" w14:textId="77777777" w:rsidTr="003C0D6D">
        <w:trPr>
          <w:trHeight w:val="228"/>
        </w:trPr>
        <w:tc>
          <w:tcPr>
            <w:tcW w:w="6007" w:type="dxa"/>
            <w:tcMar>
              <w:top w:w="10" w:type="dxa"/>
              <w:left w:w="118" w:type="dxa"/>
              <w:bottom w:w="10" w:type="dxa"/>
              <w:right w:w="118" w:type="dxa"/>
            </w:tcMar>
            <w:hideMark/>
          </w:tcPr>
          <w:p w14:paraId="1ADE5DAA" w14:textId="77777777" w:rsidR="00954ED2" w:rsidRPr="006C37B0" w:rsidRDefault="00954ED2" w:rsidP="00954ED2">
            <w:pPr>
              <w:spacing w:after="270" w:line="240" w:lineRule="auto"/>
              <w:jc w:val="both"/>
              <w:rPr>
                <w:rFonts w:eastAsia="Times New Roman" w:cstheme="minorHAnsi"/>
                <w:color w:val="212721"/>
                <w:lang w:eastAsia="en-GB"/>
              </w:rPr>
            </w:pPr>
            <w:r w:rsidRPr="006C37B0">
              <w:rPr>
                <w:rFonts w:eastAsia="Times New Roman" w:cstheme="minorHAnsi"/>
                <w:color w:val="000000"/>
                <w:lang w:eastAsia="en-GB"/>
              </w:rPr>
              <w:t>Richard Fraser, Chief Executive Officer</w:t>
            </w:r>
          </w:p>
        </w:tc>
        <w:tc>
          <w:tcPr>
            <w:tcW w:w="3953" w:type="dxa"/>
            <w:tcMar>
              <w:top w:w="10" w:type="dxa"/>
              <w:left w:w="118" w:type="dxa"/>
              <w:bottom w:w="10" w:type="dxa"/>
              <w:right w:w="118" w:type="dxa"/>
            </w:tcMar>
            <w:hideMark/>
          </w:tcPr>
          <w:p w14:paraId="5FBBF435" w14:textId="77777777" w:rsidR="00954ED2" w:rsidRPr="006C37B0" w:rsidRDefault="00954ED2" w:rsidP="00954ED2">
            <w:pPr>
              <w:spacing w:after="270" w:line="240" w:lineRule="auto"/>
              <w:jc w:val="both"/>
              <w:rPr>
                <w:rFonts w:eastAsia="Times New Roman" w:cstheme="minorHAnsi"/>
                <w:color w:val="212721"/>
                <w:lang w:eastAsia="en-GB"/>
              </w:rPr>
            </w:pPr>
            <w:r w:rsidRPr="006C37B0">
              <w:rPr>
                <w:rFonts w:eastAsia="Times New Roman" w:cstheme="minorHAnsi"/>
                <w:color w:val="000000"/>
                <w:lang w:eastAsia="en-GB"/>
              </w:rPr>
              <w:t>Tel: 0161 886 8000</w:t>
            </w:r>
          </w:p>
        </w:tc>
      </w:tr>
      <w:tr w:rsidR="00954ED2" w:rsidRPr="006C37B0" w14:paraId="3B63C2B8" w14:textId="77777777" w:rsidTr="003C0D6D">
        <w:trPr>
          <w:trHeight w:val="168"/>
        </w:trPr>
        <w:tc>
          <w:tcPr>
            <w:tcW w:w="6007" w:type="dxa"/>
            <w:tcMar>
              <w:top w:w="10" w:type="dxa"/>
              <w:left w:w="118" w:type="dxa"/>
              <w:bottom w:w="10" w:type="dxa"/>
              <w:right w:w="118" w:type="dxa"/>
            </w:tcMar>
            <w:hideMark/>
          </w:tcPr>
          <w:p w14:paraId="068A02F0" w14:textId="77777777" w:rsidR="00954ED2" w:rsidRPr="006C37B0" w:rsidRDefault="00954ED2" w:rsidP="00954ED2">
            <w:pPr>
              <w:spacing w:after="270" w:line="240" w:lineRule="auto"/>
              <w:jc w:val="both"/>
              <w:rPr>
                <w:rFonts w:eastAsia="Times New Roman" w:cstheme="minorHAnsi"/>
                <w:color w:val="212721"/>
                <w:lang w:eastAsia="en-GB"/>
              </w:rPr>
            </w:pPr>
          </w:p>
        </w:tc>
        <w:tc>
          <w:tcPr>
            <w:tcW w:w="3953" w:type="dxa"/>
            <w:tcMar>
              <w:top w:w="10" w:type="dxa"/>
              <w:left w:w="118" w:type="dxa"/>
              <w:bottom w:w="10" w:type="dxa"/>
              <w:right w:w="118" w:type="dxa"/>
            </w:tcMar>
            <w:hideMark/>
          </w:tcPr>
          <w:p w14:paraId="779F754B" w14:textId="77777777" w:rsidR="00954ED2" w:rsidRPr="006C37B0" w:rsidRDefault="00954ED2" w:rsidP="00954ED2">
            <w:pPr>
              <w:spacing w:after="270" w:line="240" w:lineRule="auto"/>
              <w:jc w:val="both"/>
              <w:rPr>
                <w:rFonts w:eastAsia="Times New Roman" w:cstheme="minorHAnsi"/>
                <w:color w:val="212721"/>
                <w:lang w:eastAsia="en-GB"/>
              </w:rPr>
            </w:pPr>
          </w:p>
        </w:tc>
      </w:tr>
      <w:tr w:rsidR="00954ED2" w:rsidRPr="006C37B0" w14:paraId="04B0A78F" w14:textId="77777777" w:rsidTr="003C0D6D">
        <w:trPr>
          <w:trHeight w:val="228"/>
        </w:trPr>
        <w:tc>
          <w:tcPr>
            <w:tcW w:w="6007" w:type="dxa"/>
            <w:tcMar>
              <w:top w:w="10" w:type="dxa"/>
              <w:left w:w="118" w:type="dxa"/>
              <w:bottom w:w="10" w:type="dxa"/>
              <w:right w:w="118" w:type="dxa"/>
            </w:tcMar>
            <w:hideMark/>
          </w:tcPr>
          <w:p w14:paraId="7D31EC13" w14:textId="77777777" w:rsidR="00954ED2" w:rsidRPr="006C37B0" w:rsidRDefault="00954ED2" w:rsidP="00954ED2">
            <w:pPr>
              <w:spacing w:after="270" w:line="240" w:lineRule="auto"/>
              <w:jc w:val="both"/>
              <w:rPr>
                <w:rFonts w:eastAsia="Times New Roman" w:cstheme="minorHAnsi"/>
                <w:color w:val="212721"/>
                <w:lang w:eastAsia="en-GB"/>
              </w:rPr>
            </w:pPr>
            <w:r w:rsidRPr="006C37B0">
              <w:rPr>
                <w:rFonts w:eastAsia="Times New Roman" w:cstheme="minorHAnsi"/>
                <w:b/>
                <w:bCs/>
                <w:color w:val="000000"/>
                <w:lang w:eastAsia="en-GB"/>
              </w:rPr>
              <w:t>finnCap Ltd (Nominated Advisor &amp; Broker)</w:t>
            </w:r>
          </w:p>
        </w:tc>
        <w:tc>
          <w:tcPr>
            <w:tcW w:w="3953" w:type="dxa"/>
            <w:tcMar>
              <w:top w:w="10" w:type="dxa"/>
              <w:left w:w="118" w:type="dxa"/>
              <w:bottom w:w="10" w:type="dxa"/>
              <w:right w:w="118" w:type="dxa"/>
            </w:tcMar>
            <w:hideMark/>
          </w:tcPr>
          <w:p w14:paraId="7F3A8FEE" w14:textId="77777777" w:rsidR="00954ED2" w:rsidRPr="006C37B0" w:rsidRDefault="00954ED2" w:rsidP="00954ED2">
            <w:pPr>
              <w:spacing w:after="270" w:line="240" w:lineRule="auto"/>
              <w:jc w:val="both"/>
              <w:rPr>
                <w:rFonts w:eastAsia="Times New Roman" w:cstheme="minorHAnsi"/>
                <w:color w:val="212721"/>
                <w:lang w:eastAsia="en-GB"/>
              </w:rPr>
            </w:pPr>
            <w:r w:rsidRPr="006C37B0">
              <w:rPr>
                <w:rFonts w:eastAsia="Times New Roman" w:cstheme="minorHAnsi"/>
                <w:color w:val="000000"/>
                <w:lang w:eastAsia="en-GB"/>
              </w:rPr>
              <w:t>Tel: 020 7220 0500</w:t>
            </w:r>
          </w:p>
        </w:tc>
      </w:tr>
      <w:tr w:rsidR="00954ED2" w:rsidRPr="006C37B0" w14:paraId="6C6FC965" w14:textId="77777777" w:rsidTr="003C0D6D">
        <w:trPr>
          <w:trHeight w:val="673"/>
        </w:trPr>
        <w:tc>
          <w:tcPr>
            <w:tcW w:w="6007" w:type="dxa"/>
            <w:tcMar>
              <w:top w:w="10" w:type="dxa"/>
              <w:left w:w="118" w:type="dxa"/>
              <w:bottom w:w="10" w:type="dxa"/>
              <w:right w:w="118" w:type="dxa"/>
            </w:tcMar>
            <w:hideMark/>
          </w:tcPr>
          <w:p w14:paraId="694DA893" w14:textId="77777777" w:rsidR="003C0D6D" w:rsidRPr="00423F9E" w:rsidRDefault="003C0D6D" w:rsidP="003C0D6D">
            <w:pPr>
              <w:pStyle w:val="bz"/>
              <w:shd w:val="clear" w:color="auto" w:fill="FFFFFF"/>
              <w:spacing w:before="0" w:beforeAutospacing="0" w:after="225" w:afterAutospacing="0"/>
              <w:rPr>
                <w:rFonts w:asciiTheme="minorHAnsi" w:eastAsia="Arial" w:hAnsiTheme="minorHAnsi" w:cstheme="minorHAnsi"/>
                <w:color w:val="000000"/>
                <w:sz w:val="22"/>
                <w:szCs w:val="22"/>
                <w:lang w:eastAsia="en-US"/>
              </w:rPr>
            </w:pPr>
            <w:r w:rsidRPr="00423F9E">
              <w:rPr>
                <w:rFonts w:asciiTheme="minorHAnsi" w:eastAsia="Arial" w:hAnsiTheme="minorHAnsi" w:cstheme="minorHAnsi"/>
                <w:sz w:val="22"/>
                <w:szCs w:val="22"/>
                <w:lang w:eastAsia="en-US"/>
              </w:rPr>
              <w:t>Carl Holmes/Abigail Kelly/Milesh Hindocha (Corporate Finance)</w:t>
            </w:r>
          </w:p>
          <w:p w14:paraId="390E52CA" w14:textId="634910BA" w:rsidR="00954ED2" w:rsidRPr="006C37B0" w:rsidRDefault="003C0D6D" w:rsidP="003C0D6D">
            <w:pPr>
              <w:spacing w:after="270" w:line="240" w:lineRule="auto"/>
              <w:rPr>
                <w:rFonts w:eastAsia="Times New Roman" w:cstheme="minorHAnsi"/>
                <w:color w:val="212721"/>
                <w:lang w:eastAsia="en-GB"/>
              </w:rPr>
            </w:pPr>
            <w:r w:rsidRPr="00423F9E">
              <w:rPr>
                <w:rFonts w:eastAsia="Arial" w:cstheme="minorHAnsi"/>
              </w:rPr>
              <w:t>Tim Redfern / Charlotte Sutcliffe (ECM)</w:t>
            </w:r>
          </w:p>
        </w:tc>
        <w:tc>
          <w:tcPr>
            <w:tcW w:w="0" w:type="auto"/>
            <w:vAlign w:val="center"/>
            <w:hideMark/>
          </w:tcPr>
          <w:p w14:paraId="758AE493" w14:textId="77777777" w:rsidR="00954ED2" w:rsidRPr="006C37B0" w:rsidRDefault="00954ED2" w:rsidP="00954ED2">
            <w:pPr>
              <w:spacing w:after="270" w:line="240" w:lineRule="auto"/>
              <w:rPr>
                <w:rFonts w:eastAsia="Times New Roman" w:cstheme="minorHAnsi"/>
                <w:color w:val="212721"/>
                <w:lang w:eastAsia="en-GB"/>
              </w:rPr>
            </w:pPr>
          </w:p>
        </w:tc>
      </w:tr>
    </w:tbl>
    <w:p w14:paraId="234CB5E5" w14:textId="77777777" w:rsidR="003C0D6D" w:rsidRPr="003C0D6D" w:rsidRDefault="003C0D6D" w:rsidP="003C0D6D">
      <w:pPr>
        <w:pStyle w:val="by"/>
        <w:spacing w:before="0" w:beforeAutospacing="0" w:after="270" w:afterAutospacing="0"/>
        <w:jc w:val="both"/>
        <w:rPr>
          <w:rFonts w:ascii="Calibri" w:eastAsia="Calibri" w:hAnsi="Calibri" w:cs="Calibri"/>
          <w:b/>
          <w:bCs/>
          <w:sz w:val="22"/>
          <w:szCs w:val="22"/>
          <w:lang w:eastAsia="en-US"/>
        </w:rPr>
      </w:pPr>
      <w:r w:rsidRPr="003C0D6D">
        <w:rPr>
          <w:rFonts w:ascii="Calibri" w:eastAsia="Calibri" w:hAnsi="Calibri" w:cs="Calibri"/>
          <w:b/>
          <w:bCs/>
          <w:sz w:val="22"/>
          <w:szCs w:val="22"/>
          <w:lang w:eastAsia="en-US"/>
        </w:rPr>
        <w:t>About Frenkel Topping Group</w:t>
      </w:r>
    </w:p>
    <w:p w14:paraId="50EACFC8" w14:textId="77777777" w:rsidR="003C0D6D" w:rsidRPr="00423F9E" w:rsidRDefault="003C0D6D" w:rsidP="003C0D6D">
      <w:pPr>
        <w:pStyle w:val="by"/>
        <w:spacing w:before="0" w:beforeAutospacing="0" w:after="270" w:afterAutospacing="0"/>
        <w:jc w:val="both"/>
        <w:rPr>
          <w:rFonts w:ascii="Calibri" w:eastAsia="Calibri" w:hAnsi="Calibri" w:cs="Calibri"/>
          <w:sz w:val="22"/>
          <w:szCs w:val="22"/>
          <w:lang w:eastAsia="en-US"/>
        </w:rPr>
      </w:pPr>
      <w:r w:rsidRPr="00423F9E">
        <w:rPr>
          <w:rFonts w:ascii="Calibri" w:eastAsia="Calibri" w:hAnsi="Calibri" w:cs="Calibri"/>
          <w:sz w:val="22"/>
          <w:szCs w:val="22"/>
          <w:lang w:eastAsia="en-US"/>
        </w:rPr>
        <w:t xml:space="preserve">The Frenkel Topping Group of companies specialises in providing financial advice and asset protection services to clients at times of financial vulnerability, with </w:t>
      </w:r>
      <w:proofErr w:type="gramStart"/>
      <w:r w:rsidRPr="00423F9E">
        <w:rPr>
          <w:rFonts w:ascii="Calibri" w:eastAsia="Calibri" w:hAnsi="Calibri" w:cs="Calibri"/>
          <w:sz w:val="22"/>
          <w:szCs w:val="22"/>
          <w:lang w:eastAsia="en-US"/>
        </w:rPr>
        <w:t>particular expertise</w:t>
      </w:r>
      <w:proofErr w:type="gramEnd"/>
      <w:r w:rsidRPr="00423F9E">
        <w:rPr>
          <w:rFonts w:ascii="Calibri" w:eastAsia="Calibri" w:hAnsi="Calibri" w:cs="Calibri"/>
          <w:sz w:val="22"/>
          <w:szCs w:val="22"/>
          <w:lang w:eastAsia="en-US"/>
        </w:rPr>
        <w:t xml:space="preserve"> in the field of personal injury (PI) and clinical negligence (CN).</w:t>
      </w:r>
    </w:p>
    <w:p w14:paraId="5B321155" w14:textId="77777777" w:rsidR="003C0D6D" w:rsidRPr="00423F9E" w:rsidRDefault="003C0D6D" w:rsidP="003C0D6D">
      <w:pPr>
        <w:pStyle w:val="by"/>
        <w:spacing w:before="0" w:beforeAutospacing="0" w:after="270" w:afterAutospacing="0"/>
        <w:jc w:val="both"/>
        <w:rPr>
          <w:rFonts w:ascii="Calibri" w:eastAsia="Calibri" w:hAnsi="Calibri" w:cs="Calibri"/>
          <w:sz w:val="22"/>
          <w:szCs w:val="22"/>
          <w:lang w:eastAsia="en-US"/>
        </w:rPr>
      </w:pPr>
      <w:r w:rsidRPr="00423F9E">
        <w:rPr>
          <w:rFonts w:ascii="Calibri" w:eastAsia="Calibri" w:hAnsi="Calibri" w:cs="Calibri"/>
          <w:sz w:val="22"/>
          <w:szCs w:val="22"/>
          <w:lang w:eastAsia="en-US"/>
        </w:rPr>
        <w:t>For more than 30 years the Group has worked with legal professionals and injured clients themselves to provide pre-settlement, at-</w:t>
      </w:r>
      <w:proofErr w:type="gramStart"/>
      <w:r w:rsidRPr="00423F9E">
        <w:rPr>
          <w:rFonts w:ascii="Calibri" w:eastAsia="Calibri" w:hAnsi="Calibri" w:cs="Calibri"/>
          <w:sz w:val="22"/>
          <w:szCs w:val="22"/>
          <w:lang w:eastAsia="en-US"/>
        </w:rPr>
        <w:t>settlement</w:t>
      </w:r>
      <w:proofErr w:type="gramEnd"/>
      <w:r w:rsidRPr="00423F9E">
        <w:rPr>
          <w:rFonts w:ascii="Calibri" w:eastAsia="Calibri" w:hAnsi="Calibri" w:cs="Calibri"/>
          <w:sz w:val="22"/>
          <w:szCs w:val="22"/>
          <w:lang w:eastAsia="en-US"/>
        </w:rPr>
        <w:t xml:space="preserve"> and post-settlement services to help achieve the best long-term outcomes for clients after injury. It boasts a client retention rate of 99%.</w:t>
      </w:r>
    </w:p>
    <w:p w14:paraId="2ACFD660" w14:textId="77777777" w:rsidR="003C0D6D" w:rsidRPr="00423F9E" w:rsidRDefault="003C0D6D" w:rsidP="003C0D6D">
      <w:pPr>
        <w:pStyle w:val="by"/>
        <w:spacing w:before="0" w:beforeAutospacing="0" w:after="270" w:afterAutospacing="0"/>
        <w:jc w:val="both"/>
        <w:rPr>
          <w:rFonts w:ascii="Calibri" w:eastAsia="Calibri" w:hAnsi="Calibri" w:cs="Calibri"/>
          <w:sz w:val="22"/>
          <w:szCs w:val="22"/>
          <w:lang w:eastAsia="en-US"/>
        </w:rPr>
      </w:pPr>
      <w:r w:rsidRPr="00423F9E">
        <w:rPr>
          <w:rFonts w:ascii="Calibri" w:eastAsia="Calibri" w:hAnsi="Calibri" w:cs="Calibri"/>
          <w:sz w:val="22"/>
          <w:szCs w:val="22"/>
          <w:lang w:eastAsia="en-US"/>
        </w:rPr>
        <w:t xml:space="preserve">Frenkel Topping Group is focused on consolidating the fragmented PI and CN space </w:t>
      </w:r>
      <w:proofErr w:type="gramStart"/>
      <w:r w:rsidRPr="00423F9E">
        <w:rPr>
          <w:rFonts w:ascii="Calibri" w:eastAsia="Calibri" w:hAnsi="Calibri" w:cs="Calibri"/>
          <w:sz w:val="22"/>
          <w:szCs w:val="22"/>
          <w:lang w:eastAsia="en-US"/>
        </w:rPr>
        <w:t>in order to</w:t>
      </w:r>
      <w:proofErr w:type="gramEnd"/>
      <w:r w:rsidRPr="00423F9E">
        <w:rPr>
          <w:rFonts w:ascii="Calibri" w:eastAsia="Calibri" w:hAnsi="Calibri" w:cs="Calibri"/>
          <w:sz w:val="22"/>
          <w:szCs w:val="22"/>
          <w:lang w:eastAsia="en-US"/>
        </w:rPr>
        <w:t xml:space="preserve"> provide the most comprehensive suite of services to clients and deliver a best-in-class service offering from immediately after injury or illness and for the rest of their lives.</w:t>
      </w:r>
    </w:p>
    <w:p w14:paraId="025FFB51" w14:textId="77777777" w:rsidR="003C0D6D" w:rsidRPr="00423F9E" w:rsidRDefault="003C0D6D" w:rsidP="003C0D6D">
      <w:pPr>
        <w:pStyle w:val="by"/>
        <w:spacing w:before="0" w:beforeAutospacing="0" w:after="270" w:afterAutospacing="0"/>
        <w:jc w:val="both"/>
        <w:rPr>
          <w:rFonts w:ascii="Calibri" w:eastAsia="Calibri" w:hAnsi="Calibri" w:cs="Calibri"/>
          <w:sz w:val="22"/>
          <w:szCs w:val="22"/>
          <w:lang w:eastAsia="en-US"/>
        </w:rPr>
      </w:pPr>
      <w:r w:rsidRPr="00423F9E">
        <w:rPr>
          <w:rFonts w:ascii="Calibri" w:eastAsia="Calibri" w:hAnsi="Calibri" w:cs="Calibri"/>
          <w:sz w:val="22"/>
          <w:szCs w:val="22"/>
          <w:lang w:eastAsia="en-US"/>
        </w:rPr>
        <w:t>The group's services include the Major Trauma Signposting Partnership service inside NHS Major Trauma Centres, expert witness, costs, tax and forensic accountancy, independent financial advice, investment management, and care and case management.</w:t>
      </w:r>
    </w:p>
    <w:p w14:paraId="37390F1E" w14:textId="77777777" w:rsidR="003C0D6D" w:rsidRPr="00423F9E" w:rsidRDefault="003C0D6D" w:rsidP="003C0D6D">
      <w:pPr>
        <w:pStyle w:val="by"/>
        <w:spacing w:before="0" w:beforeAutospacing="0" w:after="270" w:afterAutospacing="0"/>
        <w:jc w:val="both"/>
        <w:rPr>
          <w:rFonts w:ascii="Calibri" w:eastAsia="Calibri" w:hAnsi="Calibri" w:cs="Calibri"/>
          <w:sz w:val="22"/>
          <w:szCs w:val="22"/>
          <w:lang w:eastAsia="en-US"/>
        </w:rPr>
      </w:pPr>
      <w:r w:rsidRPr="00423F9E">
        <w:rPr>
          <w:rFonts w:ascii="Calibri" w:eastAsia="Calibri" w:hAnsi="Calibri" w:cs="Calibri"/>
          <w:sz w:val="22"/>
          <w:szCs w:val="22"/>
          <w:lang w:eastAsia="en-US"/>
        </w:rPr>
        <w:t xml:space="preserve">The Group's discretionary fund manager, Ascencia, manages financial portfolios for clients in unique circumstances, often who have received a financial settlement after litigation. In recent years Ascencia </w:t>
      </w:r>
      <w:r w:rsidRPr="00423F9E">
        <w:rPr>
          <w:rFonts w:ascii="Calibri" w:eastAsia="Calibri" w:hAnsi="Calibri" w:cs="Calibri"/>
          <w:sz w:val="22"/>
          <w:szCs w:val="22"/>
          <w:lang w:eastAsia="en-US"/>
        </w:rPr>
        <w:lastRenderedPageBreak/>
        <w:t xml:space="preserve">has diversified its portfolios to include a Sharia-law-compliant portfolio and </w:t>
      </w:r>
      <w:proofErr w:type="gramStart"/>
      <w:r w:rsidRPr="00423F9E">
        <w:rPr>
          <w:rFonts w:ascii="Calibri" w:eastAsia="Calibri" w:hAnsi="Calibri" w:cs="Calibri"/>
          <w:sz w:val="22"/>
          <w:szCs w:val="22"/>
          <w:lang w:eastAsia="en-US"/>
        </w:rPr>
        <w:t>a number of</w:t>
      </w:r>
      <w:proofErr w:type="gramEnd"/>
      <w:r w:rsidRPr="00423F9E">
        <w:rPr>
          <w:rFonts w:ascii="Calibri" w:eastAsia="Calibri" w:hAnsi="Calibri" w:cs="Calibri"/>
          <w:sz w:val="22"/>
          <w:szCs w:val="22"/>
          <w:lang w:eastAsia="en-US"/>
        </w:rPr>
        <w:t xml:space="preserve"> ESG portfolios in response to increased interest in socially responsible investing (SRI).</w:t>
      </w:r>
    </w:p>
    <w:p w14:paraId="2305D0B0" w14:textId="77777777" w:rsidR="003C0D6D" w:rsidRPr="00423F9E" w:rsidRDefault="003C0D6D" w:rsidP="003C0D6D">
      <w:pPr>
        <w:pStyle w:val="by"/>
        <w:spacing w:before="0" w:beforeAutospacing="0" w:after="270" w:afterAutospacing="0"/>
        <w:jc w:val="both"/>
        <w:rPr>
          <w:rFonts w:ascii="Calibri" w:eastAsia="Calibri" w:hAnsi="Calibri" w:cs="Calibri"/>
          <w:sz w:val="22"/>
          <w:szCs w:val="22"/>
          <w:lang w:eastAsia="en-US"/>
        </w:rPr>
      </w:pPr>
      <w:r w:rsidRPr="00423F9E">
        <w:rPr>
          <w:rFonts w:ascii="Calibri" w:eastAsia="Calibri" w:hAnsi="Calibri" w:cs="Calibri"/>
          <w:sz w:val="22"/>
          <w:szCs w:val="22"/>
          <w:lang w:eastAsia="en-US"/>
        </w:rPr>
        <w:t xml:space="preserve">Frenkel Topping has earned a reputation for commercial astuteness underpinned by a strong moral obligation to its clients, </w:t>
      </w:r>
      <w:proofErr w:type="gramStart"/>
      <w:r w:rsidRPr="00423F9E">
        <w:rPr>
          <w:rFonts w:ascii="Calibri" w:eastAsia="Calibri" w:hAnsi="Calibri" w:cs="Calibri"/>
          <w:sz w:val="22"/>
          <w:szCs w:val="22"/>
          <w:lang w:eastAsia="en-US"/>
        </w:rPr>
        <w:t>employees</w:t>
      </w:r>
      <w:proofErr w:type="gramEnd"/>
      <w:r w:rsidRPr="00423F9E">
        <w:rPr>
          <w:rFonts w:ascii="Calibri" w:eastAsia="Calibri" w:hAnsi="Calibri" w:cs="Calibri"/>
          <w:sz w:val="22"/>
          <w:szCs w:val="22"/>
          <w:lang w:eastAsia="en-US"/>
        </w:rPr>
        <w:t xml:space="preserve"> and wider society, with a continued focus on its Environmental, Social and Governance (ESG) impact.</w:t>
      </w:r>
    </w:p>
    <w:p w14:paraId="3123B1CD" w14:textId="77777777" w:rsidR="003C0D6D" w:rsidRPr="00423F9E" w:rsidRDefault="003C0D6D" w:rsidP="003C0D6D">
      <w:pPr>
        <w:pStyle w:val="by"/>
        <w:spacing w:before="0" w:beforeAutospacing="0" w:after="270" w:afterAutospacing="0"/>
        <w:jc w:val="both"/>
        <w:rPr>
          <w:rFonts w:ascii="Calibri" w:eastAsia="Calibri" w:hAnsi="Calibri" w:cs="Calibri"/>
          <w:sz w:val="22"/>
          <w:szCs w:val="22"/>
          <w:lang w:eastAsia="en-US"/>
        </w:rPr>
      </w:pPr>
      <w:r w:rsidRPr="00423F9E">
        <w:rPr>
          <w:rFonts w:ascii="Calibri" w:eastAsia="Calibri" w:hAnsi="Calibri" w:cs="Calibri"/>
          <w:sz w:val="22"/>
          <w:szCs w:val="22"/>
          <w:lang w:eastAsia="en-US"/>
        </w:rPr>
        <w:t>For more information visit:      </w:t>
      </w:r>
      <w:hyperlink r:id="rId9" w:history="1">
        <w:r w:rsidRPr="00423F9E">
          <w:rPr>
            <w:rFonts w:ascii="Calibri" w:eastAsia="Calibri" w:hAnsi="Calibri" w:cs="Calibri"/>
            <w:sz w:val="22"/>
            <w:szCs w:val="22"/>
            <w:lang w:eastAsia="en-US"/>
          </w:rPr>
          <w:t>www.frenkeltoppinggroup.co.uk</w:t>
        </w:r>
      </w:hyperlink>
    </w:p>
    <w:p w14:paraId="4168D259" w14:textId="77777777" w:rsidR="003C0D6D" w:rsidRPr="00423F9E" w:rsidRDefault="003C0D6D" w:rsidP="003C0D6D">
      <w:pPr>
        <w:pStyle w:val="bi"/>
        <w:spacing w:before="0" w:beforeAutospacing="0" w:after="270" w:afterAutospacing="0"/>
        <w:jc w:val="both"/>
        <w:rPr>
          <w:rFonts w:ascii="Calibri" w:eastAsia="Calibri" w:hAnsi="Calibri" w:cs="Calibri"/>
          <w:sz w:val="22"/>
          <w:szCs w:val="22"/>
          <w:lang w:eastAsia="en-US"/>
        </w:rPr>
      </w:pPr>
    </w:p>
    <w:p w14:paraId="7A19E3FF" w14:textId="77777777" w:rsidR="00954ED2" w:rsidRPr="006C37B0" w:rsidRDefault="00954ED2" w:rsidP="003C0D6D">
      <w:pPr>
        <w:spacing w:after="270" w:line="240" w:lineRule="auto"/>
        <w:jc w:val="both"/>
        <w:rPr>
          <w:rFonts w:cstheme="minorHAnsi"/>
        </w:rPr>
      </w:pPr>
    </w:p>
    <w:sectPr w:rsidR="00954ED2" w:rsidRPr="006C37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D2166"/>
    <w:multiLevelType w:val="hybridMultilevel"/>
    <w:tmpl w:val="A4EC6FAC"/>
    <w:lvl w:ilvl="0" w:tplc="D200EF80">
      <w:start w:val="1"/>
      <w:numFmt w:val="bullet"/>
      <w:lvlText w:val=""/>
      <w:lvlJc w:val="left"/>
      <w:pPr>
        <w:ind w:left="720" w:hanging="360"/>
      </w:pPr>
      <w:rPr>
        <w:rFonts w:ascii="Symbol" w:eastAsiaTheme="minorHAnsi" w:hAnsi="Symbol" w:cs="Calibri" w:hint="default"/>
        <w:i/>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4197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954ED2"/>
    <w:rsid w:val="00063CBD"/>
    <w:rsid w:val="000A6E5A"/>
    <w:rsid w:val="000C69B0"/>
    <w:rsid w:val="00101A7C"/>
    <w:rsid w:val="00114985"/>
    <w:rsid w:val="00120ED7"/>
    <w:rsid w:val="00123EA5"/>
    <w:rsid w:val="00125EAB"/>
    <w:rsid w:val="00194753"/>
    <w:rsid w:val="001B5021"/>
    <w:rsid w:val="00204E0E"/>
    <w:rsid w:val="00211DB5"/>
    <w:rsid w:val="002227D5"/>
    <w:rsid w:val="00222B93"/>
    <w:rsid w:val="00242F0A"/>
    <w:rsid w:val="0026495F"/>
    <w:rsid w:val="002747DF"/>
    <w:rsid w:val="002C1DFC"/>
    <w:rsid w:val="003135D9"/>
    <w:rsid w:val="0035608A"/>
    <w:rsid w:val="003A62B9"/>
    <w:rsid w:val="003C0D6D"/>
    <w:rsid w:val="003D1C10"/>
    <w:rsid w:val="004A4537"/>
    <w:rsid w:val="004C1963"/>
    <w:rsid w:val="004E1B59"/>
    <w:rsid w:val="004E65CD"/>
    <w:rsid w:val="00500E0F"/>
    <w:rsid w:val="00502370"/>
    <w:rsid w:val="0052301C"/>
    <w:rsid w:val="005A72A6"/>
    <w:rsid w:val="005D4DCA"/>
    <w:rsid w:val="005D7FE2"/>
    <w:rsid w:val="005F6455"/>
    <w:rsid w:val="00640AA6"/>
    <w:rsid w:val="00674968"/>
    <w:rsid w:val="00677BFA"/>
    <w:rsid w:val="00685C69"/>
    <w:rsid w:val="00694C82"/>
    <w:rsid w:val="006B11B8"/>
    <w:rsid w:val="006B6CB0"/>
    <w:rsid w:val="006C37B0"/>
    <w:rsid w:val="00713C8F"/>
    <w:rsid w:val="0076291B"/>
    <w:rsid w:val="007840D0"/>
    <w:rsid w:val="00822246"/>
    <w:rsid w:val="00872A5C"/>
    <w:rsid w:val="008858F2"/>
    <w:rsid w:val="00885AFC"/>
    <w:rsid w:val="008A62C3"/>
    <w:rsid w:val="008B693D"/>
    <w:rsid w:val="008F1E29"/>
    <w:rsid w:val="00936B0A"/>
    <w:rsid w:val="00954ED2"/>
    <w:rsid w:val="00993261"/>
    <w:rsid w:val="009D5410"/>
    <w:rsid w:val="00A725C2"/>
    <w:rsid w:val="00A832CB"/>
    <w:rsid w:val="00AB441F"/>
    <w:rsid w:val="00AF18CC"/>
    <w:rsid w:val="00B0540E"/>
    <w:rsid w:val="00B1594B"/>
    <w:rsid w:val="00B21CF4"/>
    <w:rsid w:val="00B2733F"/>
    <w:rsid w:val="00B5339B"/>
    <w:rsid w:val="00C84295"/>
    <w:rsid w:val="00CF4050"/>
    <w:rsid w:val="00D17B48"/>
    <w:rsid w:val="00D47B6C"/>
    <w:rsid w:val="00DB07F0"/>
    <w:rsid w:val="00DC0429"/>
    <w:rsid w:val="00DC5212"/>
    <w:rsid w:val="00E00FF3"/>
    <w:rsid w:val="00E10BAE"/>
    <w:rsid w:val="00E23ABB"/>
    <w:rsid w:val="00E5533D"/>
    <w:rsid w:val="00E64C76"/>
    <w:rsid w:val="00E871CD"/>
    <w:rsid w:val="00F04499"/>
    <w:rsid w:val="00F10075"/>
    <w:rsid w:val="00F17094"/>
    <w:rsid w:val="00F20853"/>
    <w:rsid w:val="00F226D6"/>
    <w:rsid w:val="00F852D9"/>
    <w:rsid w:val="00FD0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72031"/>
  <w15:docId w15:val="{886A6B9A-6450-46CB-AFB7-B43CB13E4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
    <w:name w:val="bo"/>
    <w:basedOn w:val="Normal"/>
    <w:rsid w:val="00954E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m">
    <w:name w:val="bm"/>
    <w:basedOn w:val="DefaultParagraphFont"/>
    <w:rsid w:val="00954ED2"/>
  </w:style>
  <w:style w:type="paragraph" w:customStyle="1" w:styleId="bp">
    <w:name w:val="bp"/>
    <w:basedOn w:val="Normal"/>
    <w:rsid w:val="00954E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u">
    <w:name w:val="bu"/>
    <w:basedOn w:val="Normal"/>
    <w:rsid w:val="00954E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s">
    <w:name w:val="bs"/>
    <w:basedOn w:val="Normal"/>
    <w:rsid w:val="00954E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54ED2"/>
    <w:pPr>
      <w:ind w:left="720"/>
      <w:contextualSpacing/>
    </w:pPr>
  </w:style>
  <w:style w:type="paragraph" w:customStyle="1" w:styleId="ca">
    <w:name w:val="ca"/>
    <w:basedOn w:val="Normal"/>
    <w:rsid w:val="00954E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d">
    <w:name w:val="bd"/>
    <w:basedOn w:val="DefaultParagraphFont"/>
    <w:rsid w:val="00954ED2"/>
  </w:style>
  <w:style w:type="character" w:customStyle="1" w:styleId="be">
    <w:name w:val="be"/>
    <w:basedOn w:val="DefaultParagraphFont"/>
    <w:rsid w:val="00954ED2"/>
  </w:style>
  <w:style w:type="character" w:customStyle="1" w:styleId="bc">
    <w:name w:val="bc"/>
    <w:basedOn w:val="DefaultParagraphFont"/>
    <w:rsid w:val="00954ED2"/>
  </w:style>
  <w:style w:type="paragraph" w:customStyle="1" w:styleId="cc">
    <w:name w:val="cc"/>
    <w:basedOn w:val="Normal"/>
    <w:rsid w:val="00954E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a">
    <w:name w:val="ba"/>
    <w:basedOn w:val="DefaultParagraphFont"/>
    <w:rsid w:val="00954ED2"/>
  </w:style>
  <w:style w:type="character" w:customStyle="1" w:styleId="ax">
    <w:name w:val="ax"/>
    <w:basedOn w:val="DefaultParagraphFont"/>
    <w:rsid w:val="00954ED2"/>
  </w:style>
  <w:style w:type="character" w:styleId="Hyperlink">
    <w:name w:val="Hyperlink"/>
    <w:basedOn w:val="DefaultParagraphFont"/>
    <w:uiPriority w:val="99"/>
    <w:semiHidden/>
    <w:unhideWhenUsed/>
    <w:rsid w:val="00954ED2"/>
    <w:rPr>
      <w:color w:val="0000FF"/>
      <w:u w:val="single"/>
    </w:rPr>
  </w:style>
  <w:style w:type="paragraph" w:customStyle="1" w:styleId="cd">
    <w:name w:val="cd"/>
    <w:basedOn w:val="Normal"/>
    <w:rsid w:val="00954E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e">
    <w:name w:val="ce"/>
    <w:basedOn w:val="Normal"/>
    <w:rsid w:val="00954E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
    <w:name w:val="cf"/>
    <w:basedOn w:val="DefaultParagraphFont"/>
    <w:rsid w:val="00954ED2"/>
  </w:style>
  <w:style w:type="character" w:customStyle="1" w:styleId="cg">
    <w:name w:val="cg"/>
    <w:basedOn w:val="DefaultParagraphFont"/>
    <w:rsid w:val="00954ED2"/>
  </w:style>
  <w:style w:type="character" w:customStyle="1" w:styleId="ch">
    <w:name w:val="ch"/>
    <w:basedOn w:val="DefaultParagraphFont"/>
    <w:rsid w:val="00954ED2"/>
  </w:style>
  <w:style w:type="character" w:customStyle="1" w:styleId="al">
    <w:name w:val="al"/>
    <w:basedOn w:val="DefaultParagraphFont"/>
    <w:rsid w:val="00954ED2"/>
  </w:style>
  <w:style w:type="character" w:customStyle="1" w:styleId="ae">
    <w:name w:val="ae"/>
    <w:basedOn w:val="DefaultParagraphFont"/>
    <w:rsid w:val="00954ED2"/>
  </w:style>
  <w:style w:type="character" w:customStyle="1" w:styleId="ak">
    <w:name w:val="ak"/>
    <w:basedOn w:val="DefaultParagraphFont"/>
    <w:rsid w:val="00954ED2"/>
  </w:style>
  <w:style w:type="character" w:customStyle="1" w:styleId="br">
    <w:name w:val="br"/>
    <w:basedOn w:val="DefaultParagraphFont"/>
    <w:rsid w:val="00954ED2"/>
  </w:style>
  <w:style w:type="character" w:customStyle="1" w:styleId="bf">
    <w:name w:val="bf"/>
    <w:basedOn w:val="DefaultParagraphFont"/>
    <w:rsid w:val="00101A7C"/>
    <w:rPr>
      <w:i/>
      <w:iCs/>
      <w:sz w:val="20"/>
      <w:szCs w:val="20"/>
    </w:rPr>
  </w:style>
  <w:style w:type="character" w:customStyle="1" w:styleId="xn-money">
    <w:name w:val="xn-money"/>
    <w:basedOn w:val="DefaultParagraphFont"/>
    <w:rsid w:val="00101A7C"/>
  </w:style>
  <w:style w:type="character" w:styleId="CommentReference">
    <w:name w:val="annotation reference"/>
    <w:basedOn w:val="DefaultParagraphFont"/>
    <w:uiPriority w:val="99"/>
    <w:semiHidden/>
    <w:unhideWhenUsed/>
    <w:rsid w:val="005D7FE2"/>
    <w:rPr>
      <w:sz w:val="16"/>
      <w:szCs w:val="16"/>
    </w:rPr>
  </w:style>
  <w:style w:type="paragraph" w:styleId="CommentText">
    <w:name w:val="annotation text"/>
    <w:basedOn w:val="Normal"/>
    <w:link w:val="CommentTextChar"/>
    <w:uiPriority w:val="99"/>
    <w:unhideWhenUsed/>
    <w:rsid w:val="005D7FE2"/>
    <w:pPr>
      <w:spacing w:line="240" w:lineRule="auto"/>
    </w:pPr>
    <w:rPr>
      <w:sz w:val="20"/>
      <w:szCs w:val="20"/>
    </w:rPr>
  </w:style>
  <w:style w:type="character" w:customStyle="1" w:styleId="CommentTextChar">
    <w:name w:val="Comment Text Char"/>
    <w:basedOn w:val="DefaultParagraphFont"/>
    <w:link w:val="CommentText"/>
    <w:uiPriority w:val="99"/>
    <w:rsid w:val="005D7FE2"/>
    <w:rPr>
      <w:sz w:val="20"/>
      <w:szCs w:val="20"/>
    </w:rPr>
  </w:style>
  <w:style w:type="paragraph" w:styleId="CommentSubject">
    <w:name w:val="annotation subject"/>
    <w:basedOn w:val="CommentText"/>
    <w:next w:val="CommentText"/>
    <w:link w:val="CommentSubjectChar"/>
    <w:uiPriority w:val="99"/>
    <w:semiHidden/>
    <w:unhideWhenUsed/>
    <w:rsid w:val="005D7FE2"/>
    <w:rPr>
      <w:b/>
      <w:bCs/>
    </w:rPr>
  </w:style>
  <w:style w:type="character" w:customStyle="1" w:styleId="CommentSubjectChar">
    <w:name w:val="Comment Subject Char"/>
    <w:basedOn w:val="CommentTextChar"/>
    <w:link w:val="CommentSubject"/>
    <w:uiPriority w:val="99"/>
    <w:semiHidden/>
    <w:rsid w:val="005D7FE2"/>
    <w:rPr>
      <w:b/>
      <w:bCs/>
      <w:sz w:val="20"/>
      <w:szCs w:val="20"/>
    </w:rPr>
  </w:style>
  <w:style w:type="paragraph" w:customStyle="1" w:styleId="bq">
    <w:name w:val="bq"/>
    <w:basedOn w:val="Normal"/>
    <w:rsid w:val="00FD0A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k">
    <w:name w:val="bk"/>
    <w:basedOn w:val="DefaultParagraphFont"/>
    <w:rsid w:val="00FD0A7F"/>
    <w:rPr>
      <w:rFonts w:ascii="Calibri" w:hAnsi="Calibri" w:cs="Calibri" w:hint="default"/>
      <w:sz w:val="20"/>
      <w:szCs w:val="20"/>
    </w:rPr>
  </w:style>
  <w:style w:type="character" w:customStyle="1" w:styleId="az">
    <w:name w:val="az"/>
    <w:basedOn w:val="DefaultParagraphFont"/>
    <w:rsid w:val="00FD0A7F"/>
    <w:rPr>
      <w:rFonts w:ascii="Calibri" w:hAnsi="Calibri" w:cs="Calibri" w:hint="default"/>
      <w:sz w:val="22"/>
      <w:szCs w:val="22"/>
    </w:rPr>
  </w:style>
  <w:style w:type="character" w:customStyle="1" w:styleId="ay">
    <w:name w:val="ay"/>
    <w:basedOn w:val="DefaultParagraphFont"/>
    <w:rsid w:val="00FD0A7F"/>
    <w:rPr>
      <w:rFonts w:ascii="Calibri" w:hAnsi="Calibri" w:cs="Calibri" w:hint="default"/>
      <w:color w:val="auto"/>
      <w:sz w:val="22"/>
      <w:szCs w:val="22"/>
    </w:rPr>
  </w:style>
  <w:style w:type="character" w:customStyle="1" w:styleId="xn-location">
    <w:name w:val="xn-location"/>
    <w:basedOn w:val="DefaultParagraphFont"/>
    <w:rsid w:val="00FD0A7F"/>
  </w:style>
  <w:style w:type="paragraph" w:styleId="Revision">
    <w:name w:val="Revision"/>
    <w:hidden/>
    <w:uiPriority w:val="99"/>
    <w:semiHidden/>
    <w:rsid w:val="006B6CB0"/>
    <w:pPr>
      <w:spacing w:after="0" w:line="240" w:lineRule="auto"/>
    </w:pPr>
  </w:style>
  <w:style w:type="paragraph" w:styleId="BalloonText">
    <w:name w:val="Balloon Text"/>
    <w:basedOn w:val="Normal"/>
    <w:link w:val="BalloonTextChar"/>
    <w:uiPriority w:val="99"/>
    <w:semiHidden/>
    <w:unhideWhenUsed/>
    <w:rsid w:val="00E5533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5533D"/>
    <w:rPr>
      <w:rFonts w:ascii="Times New Roman" w:hAnsi="Times New Roman" w:cs="Times New Roman"/>
      <w:sz w:val="18"/>
      <w:szCs w:val="18"/>
    </w:rPr>
  </w:style>
  <w:style w:type="paragraph" w:customStyle="1" w:styleId="bz">
    <w:name w:val="bz"/>
    <w:basedOn w:val="Normal"/>
    <w:rsid w:val="003C0D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i">
    <w:name w:val="bi"/>
    <w:basedOn w:val="Normal"/>
    <w:rsid w:val="003C0D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y">
    <w:name w:val="by"/>
    <w:basedOn w:val="Normal"/>
    <w:rsid w:val="003C0D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
    <w:name w:val="au"/>
    <w:basedOn w:val="DefaultParagraphFont"/>
    <w:rsid w:val="004A4537"/>
    <w:rPr>
      <w:rFonts w:ascii="Arial" w:hAnsi="Arial" w:cs="Arial"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3315">
      <w:bodyDiv w:val="1"/>
      <w:marLeft w:val="0"/>
      <w:marRight w:val="0"/>
      <w:marTop w:val="0"/>
      <w:marBottom w:val="0"/>
      <w:divBdr>
        <w:top w:val="none" w:sz="0" w:space="0" w:color="auto"/>
        <w:left w:val="none" w:sz="0" w:space="0" w:color="auto"/>
        <w:bottom w:val="none" w:sz="0" w:space="0" w:color="auto"/>
        <w:right w:val="none" w:sz="0" w:space="0" w:color="auto"/>
      </w:divBdr>
    </w:div>
    <w:div w:id="724330153">
      <w:bodyDiv w:val="1"/>
      <w:marLeft w:val="0"/>
      <w:marRight w:val="0"/>
      <w:marTop w:val="0"/>
      <w:marBottom w:val="0"/>
      <w:divBdr>
        <w:top w:val="none" w:sz="0" w:space="0" w:color="auto"/>
        <w:left w:val="none" w:sz="0" w:space="0" w:color="auto"/>
        <w:bottom w:val="none" w:sz="0" w:space="0" w:color="auto"/>
        <w:right w:val="none" w:sz="0" w:space="0" w:color="auto"/>
      </w:divBdr>
    </w:div>
    <w:div w:id="1094784331">
      <w:bodyDiv w:val="1"/>
      <w:marLeft w:val="0"/>
      <w:marRight w:val="0"/>
      <w:marTop w:val="0"/>
      <w:marBottom w:val="0"/>
      <w:divBdr>
        <w:top w:val="none" w:sz="0" w:space="0" w:color="auto"/>
        <w:left w:val="none" w:sz="0" w:space="0" w:color="auto"/>
        <w:bottom w:val="none" w:sz="0" w:space="0" w:color="auto"/>
        <w:right w:val="none" w:sz="0" w:space="0" w:color="auto"/>
      </w:divBdr>
    </w:div>
    <w:div w:id="1464616575">
      <w:bodyDiv w:val="1"/>
      <w:marLeft w:val="0"/>
      <w:marRight w:val="0"/>
      <w:marTop w:val="0"/>
      <w:marBottom w:val="0"/>
      <w:divBdr>
        <w:top w:val="none" w:sz="0" w:space="0" w:color="auto"/>
        <w:left w:val="none" w:sz="0" w:space="0" w:color="auto"/>
        <w:bottom w:val="none" w:sz="0" w:space="0" w:color="auto"/>
        <w:right w:val="none" w:sz="0" w:space="0" w:color="auto"/>
      </w:divBdr>
    </w:div>
    <w:div w:id="1631591717">
      <w:bodyDiv w:val="1"/>
      <w:marLeft w:val="0"/>
      <w:marRight w:val="0"/>
      <w:marTop w:val="0"/>
      <w:marBottom w:val="0"/>
      <w:divBdr>
        <w:top w:val="none" w:sz="0" w:space="0" w:color="auto"/>
        <w:left w:val="none" w:sz="0" w:space="0" w:color="auto"/>
        <w:bottom w:val="none" w:sz="0" w:space="0" w:color="auto"/>
        <w:right w:val="none" w:sz="0" w:space="0" w:color="auto"/>
      </w:divBdr>
    </w:div>
    <w:div w:id="1636595561">
      <w:bodyDiv w:val="1"/>
      <w:marLeft w:val="0"/>
      <w:marRight w:val="0"/>
      <w:marTop w:val="0"/>
      <w:marBottom w:val="0"/>
      <w:divBdr>
        <w:top w:val="none" w:sz="0" w:space="0" w:color="auto"/>
        <w:left w:val="none" w:sz="0" w:space="0" w:color="auto"/>
        <w:bottom w:val="none" w:sz="0" w:space="0" w:color="auto"/>
        <w:right w:val="none" w:sz="0" w:space="0" w:color="auto"/>
      </w:divBdr>
    </w:div>
    <w:div w:id="1810786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renkeltoppinggroup.co.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rotect-eu.mimecast.com/s/WNCMCR1EKSxDwoTNKWD-?domain=frenkeltoppinggroup.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6c120bf-be08-4556-b8ed-9ef4871e56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D69DE925A45A418539CE4BD3456ACF" ma:contentTypeVersion="16" ma:contentTypeDescription="Create a new document." ma:contentTypeScope="" ma:versionID="f9bfb3906076bb64b6faf909e510a3f6">
  <xsd:schema xmlns:xsd="http://www.w3.org/2001/XMLSchema" xmlns:xs="http://www.w3.org/2001/XMLSchema" xmlns:p="http://schemas.microsoft.com/office/2006/metadata/properties" xmlns:ns3="41286d3e-175d-467f-9450-cf3dd670f826" xmlns:ns4="26c120bf-be08-4556-b8ed-9ef4871e568e" targetNamespace="http://schemas.microsoft.com/office/2006/metadata/properties" ma:root="true" ma:fieldsID="64b80da10cf4aaf90b2cf9cbaa99069b" ns3:_="" ns4:_="">
    <xsd:import namespace="41286d3e-175d-467f-9450-cf3dd670f826"/>
    <xsd:import namespace="26c120bf-be08-4556-b8ed-9ef4871e56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LengthInSecond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_activity" minOccurs="0"/>
                <xsd:element ref="ns4:MediaServiceLocatio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86d3e-175d-467f-9450-cf3dd670f8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120bf-be08-4556-b8ed-9ef4871e56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02C3F7-755C-4B89-B279-C1526D5C8762}">
  <ds:schemaRefs>
    <ds:schemaRef ds:uri="http://purl.org/dc/elements/1.1/"/>
    <ds:schemaRef ds:uri="http://purl.org/dc/dcmitype/"/>
    <ds:schemaRef ds:uri="http://schemas.microsoft.com/office/2006/documentManagement/types"/>
    <ds:schemaRef ds:uri="http://schemas.microsoft.com/office/2006/metadata/properties"/>
    <ds:schemaRef ds:uri="http://schemas.microsoft.com/office/infopath/2007/PartnerControls"/>
    <ds:schemaRef ds:uri="41286d3e-175d-467f-9450-cf3dd670f826"/>
    <ds:schemaRef ds:uri="http://www.w3.org/XML/1998/namespace"/>
    <ds:schemaRef ds:uri="http://purl.org/dc/terms/"/>
    <ds:schemaRef ds:uri="http://schemas.openxmlformats.org/package/2006/metadata/core-properties"/>
    <ds:schemaRef ds:uri="26c120bf-be08-4556-b8ed-9ef4871e568e"/>
  </ds:schemaRefs>
</ds:datastoreItem>
</file>

<file path=customXml/itemProps2.xml><?xml version="1.0" encoding="utf-8"?>
<ds:datastoreItem xmlns:ds="http://schemas.openxmlformats.org/officeDocument/2006/customXml" ds:itemID="{C7392ACC-CE6A-4A68-86C6-E0E1A37F758D}">
  <ds:schemaRefs>
    <ds:schemaRef ds:uri="http://schemas.microsoft.com/sharepoint/v3/contenttype/forms"/>
  </ds:schemaRefs>
</ds:datastoreItem>
</file>

<file path=customXml/itemProps3.xml><?xml version="1.0" encoding="utf-8"?>
<ds:datastoreItem xmlns:ds="http://schemas.openxmlformats.org/officeDocument/2006/customXml" ds:itemID="{73928C32-D7C3-4E00-A778-4771050A6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286d3e-175d-467f-9450-cf3dd670f826"/>
    <ds:schemaRef ds:uri="26c120bf-be08-4556-b8ed-9ef4871e5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Holmes</dc:creator>
  <cp:keywords/>
  <dc:description/>
  <cp:lastModifiedBy>Aimee Brookes</cp:lastModifiedBy>
  <cp:revision>2</cp:revision>
  <cp:lastPrinted>2023-02-03T12:16:00Z</cp:lastPrinted>
  <dcterms:created xsi:type="dcterms:W3CDTF">2023-08-22T08:51:00Z</dcterms:created>
  <dcterms:modified xsi:type="dcterms:W3CDTF">2023-08-22T08:51:00Z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0x0101007DD69DE925A45A418539CE4BD3456ACF</vt:lpwstr>
  </property>
</Properties>
</file>